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881F46"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9.5pt;margin-top:-7.65pt;width:182.4pt;height:34.35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881F46" w:rsidP="00597801">
      <w:pPr>
        <w:spacing w:line="0" w:lineRule="atLeast"/>
      </w:pPr>
      <w:bookmarkStart w:id="0" w:name="_GoBack"/>
      <w:r>
        <w:rPr>
          <w:noProof/>
        </w:rPr>
        <w:pict>
          <v:shape id="_x0000_s1029" type="#_x0000_t136" style="position:absolute;margin-left:1.95pt;margin-top:16.45pt;width:525.15pt;height:43.3pt;z-index:-251654144" wrapcoords="1728 0 401 372 154 1117 154 5959 -31 11917 185 17876 62 18993 154 21228 1327 21972 14194 21972 21693 21972 21723 18248 21662 1117 20952 745 14935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bookmarkEnd w:id="0"/>
    </w:p>
    <w:p w:rsidR="00597801" w:rsidRDefault="00881F46" w:rsidP="00597801">
      <w:pPr>
        <w:spacing w:line="0" w:lineRule="atLeast"/>
      </w:pPr>
      <w:r>
        <w:rPr>
          <w:noProof/>
        </w:rPr>
        <w:pict>
          <v:shape id="_x0000_s1035" type="#_x0000_t136" style="position:absolute;margin-left:3.75pt;margin-top:-2.15pt;width:525.15pt;height:85.95pt;z-index:-251650048" wrapcoords="247 0 31 188 -31 2066 -31 3944 93 5635 3363 6010 3271 8077 3271 9016 3363 9955 4166 12021 4536 12021 4320 13523 4382 16153 6449 16341 14441 16341 14935 16341 16570 16341 17434 15965 17403 12021 17774 10706 17897 9203 17897 6950 17774 6010 21723 5447 21723 563 21322 0 19872 0 247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 ! 無購物站無自費行程 !&#10;  "/>
            <w10:wrap type="tight"/>
          </v:shape>
        </w:pict>
      </w:r>
    </w:p>
    <w:p w:rsidR="00597801" w:rsidRDefault="00597801" w:rsidP="00597801">
      <w:pPr>
        <w:spacing w:line="0" w:lineRule="atLeast"/>
      </w:pPr>
    </w:p>
    <w:p w:rsidR="003E4ABA" w:rsidRDefault="003E4ABA" w:rsidP="00597801">
      <w:pPr>
        <w:spacing w:line="0" w:lineRule="atLeast"/>
        <w:rPr>
          <w:rFonts w:ascii="標楷體" w:eastAsia="標楷體" w:hAnsi="標楷體" w:cs="Arial"/>
          <w:b/>
          <w:bCs/>
          <w:color w:val="0000FF"/>
          <w:sz w:val="28"/>
          <w:szCs w:val="28"/>
        </w:rPr>
      </w:pP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金門最新</w:t>
      </w:r>
      <w:r w:rsidRPr="00DB7B6E">
        <w:rPr>
          <w:rFonts w:ascii="標楷體" w:eastAsia="標楷體" w:hAnsi="標楷體" w:cs="Arial" w:hint="eastAsia"/>
          <w:b/>
          <w:bCs/>
          <w:color w:val="0000FF"/>
          <w:sz w:val="28"/>
          <w:szCs w:val="28"/>
        </w:rPr>
        <w:t>★★★★★</w:t>
      </w:r>
      <w:r>
        <w:rPr>
          <w:rFonts w:ascii="標楷體" w:eastAsia="標楷體" w:hAnsi="標楷體" w:cs="Arial" w:hint="eastAsia"/>
          <w:b/>
          <w:bCs/>
          <w:color w:val="0000FF"/>
          <w:sz w:val="28"/>
          <w:szCs w:val="28"/>
        </w:rPr>
        <w:t>金湖大飯店1晚</w:t>
      </w:r>
      <w:r w:rsidR="003E4ABA">
        <w:rPr>
          <w:rFonts w:ascii="標楷體" w:eastAsia="標楷體" w:hAnsi="標楷體" w:cs="Arial" w:hint="eastAsia"/>
          <w:b/>
          <w:bCs/>
          <w:color w:val="0000FF"/>
          <w:sz w:val="28"/>
          <w:szCs w:val="28"/>
        </w:rPr>
        <w:t>金門新開! 金門最好</w:t>
      </w:r>
      <w:r>
        <w:rPr>
          <w:rFonts w:ascii="標楷體" w:eastAsia="標楷體" w:hAnsi="標楷體" w:cs="Arial" w:hint="eastAsia"/>
          <w:b/>
          <w:bCs/>
          <w:color w:val="0000FF"/>
          <w:sz w:val="28"/>
          <w:szCs w:val="28"/>
        </w:rPr>
        <w:t>!</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2096" behindDoc="1" locked="0" layoutInCell="1" allowOverlap="1">
            <wp:simplePos x="0" y="0"/>
            <wp:positionH relativeFrom="column">
              <wp:posOffset>5078730</wp:posOffset>
            </wp:positionH>
            <wp:positionV relativeFrom="paragraph">
              <wp:posOffset>12065</wp:posOffset>
            </wp:positionV>
            <wp:extent cx="1828800" cy="1057275"/>
            <wp:effectExtent l="19050" t="0" r="0" b="0"/>
            <wp:wrapTight wrapText="bothSides">
              <wp:wrapPolygon edited="0">
                <wp:start x="-225" y="0"/>
                <wp:lineTo x="-225" y="21405"/>
                <wp:lineTo x="21600" y="21405"/>
                <wp:lineTo x="21600" y="0"/>
                <wp:lineTo x="-225"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828800"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51072" behindDoc="1" locked="0" layoutInCell="1" allowOverlap="1">
            <wp:simplePos x="0" y="0"/>
            <wp:positionH relativeFrom="column">
              <wp:posOffset>3040380</wp:posOffset>
            </wp:positionH>
            <wp:positionV relativeFrom="paragraph">
              <wp:posOffset>12065</wp:posOffset>
            </wp:positionV>
            <wp:extent cx="1952625" cy="1057275"/>
            <wp:effectExtent l="19050" t="0" r="9525" b="0"/>
            <wp:wrapTight wrapText="bothSides">
              <wp:wrapPolygon edited="0">
                <wp:start x="-211" y="0"/>
                <wp:lineTo x="-211" y="21405"/>
                <wp:lineTo x="21705" y="21405"/>
                <wp:lineTo x="21705" y="0"/>
                <wp:lineTo x="-211"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2625" cy="1057275"/>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3E4ABA" w:rsidRDefault="003E4ABA" w:rsidP="00597801">
      <w:pPr>
        <w:spacing w:line="280" w:lineRule="exact"/>
        <w:rPr>
          <w:rFonts w:ascii="標楷體" w:eastAsia="標楷體" w:hAnsi="標楷體" w:cs="Arial"/>
          <w:b/>
          <w:bCs/>
          <w:color w:val="0000FF"/>
          <w:sz w:val="28"/>
          <w:szCs w:val="28"/>
        </w:rPr>
      </w:pPr>
    </w:p>
    <w:p w:rsidR="003E4ABA" w:rsidRDefault="003E4ABA" w:rsidP="00597801">
      <w:pPr>
        <w:spacing w:line="280" w:lineRule="exact"/>
        <w:rPr>
          <w:rFonts w:ascii="標楷體" w:eastAsia="標楷體" w:hAnsi="標楷體" w:cs="Arial"/>
          <w:b/>
          <w:bCs/>
          <w:color w:val="0000FF"/>
          <w:sz w:val="28"/>
          <w:szCs w:val="28"/>
        </w:rPr>
      </w:pPr>
    </w:p>
    <w:p w:rsidR="00597801" w:rsidRPr="00F21752" w:rsidRDefault="00A67B7F" w:rsidP="00597801">
      <w:pPr>
        <w:spacing w:line="280" w:lineRule="exact"/>
        <w:rPr>
          <w:rFonts w:ascii="標楷體" w:eastAsia="標楷體" w:hAnsi="標楷體" w:cs="Arial"/>
          <w:bCs/>
          <w:color w:val="000000"/>
          <w:szCs w:val="24"/>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proofErr w:type="gramStart"/>
      <w:r>
        <w:rPr>
          <w:rFonts w:ascii="標楷體" w:eastAsia="標楷體" w:hAnsi="標楷體" w:cs="Arial" w:hint="eastAsia"/>
          <w:b/>
          <w:bCs/>
          <w:color w:val="0000FF"/>
          <w:sz w:val="28"/>
          <w:szCs w:val="28"/>
        </w:rPr>
        <w:t>靈玲馬戲</w:t>
      </w:r>
      <w:proofErr w:type="gramEnd"/>
      <w:r>
        <w:rPr>
          <w:rFonts w:ascii="標楷體" w:eastAsia="標楷體" w:hAnsi="標楷體" w:cs="Arial" w:hint="eastAsia"/>
          <w:b/>
          <w:bCs/>
          <w:color w:val="0000FF"/>
          <w:sz w:val="28"/>
          <w:szCs w:val="28"/>
        </w:rPr>
        <w:t>主題房</w:t>
      </w:r>
      <w:r w:rsidR="00597801">
        <w:rPr>
          <w:rFonts w:ascii="標楷體" w:eastAsia="標楷體" w:hAnsi="標楷體" w:cs="Arial" w:hint="eastAsia"/>
          <w:b/>
          <w:bCs/>
          <w:color w:val="0000FF"/>
          <w:sz w:val="28"/>
          <w:szCs w:val="28"/>
        </w:rPr>
        <w:t xml:space="preserve"> 1 晚</w:t>
      </w:r>
      <w:r w:rsidR="003E4ABA">
        <w:rPr>
          <w:rFonts w:ascii="標楷體" w:eastAsia="標楷體" w:hAnsi="標楷體" w:cs="Arial" w:hint="eastAsia"/>
          <w:b/>
          <w:bCs/>
          <w:noProof/>
          <w:color w:val="0000FF"/>
          <w:sz w:val="28"/>
          <w:szCs w:val="28"/>
        </w:rPr>
        <w:t>或同級</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9264" behindDoc="0" locked="0" layoutInCell="1" allowOverlap="1">
            <wp:simplePos x="0" y="0"/>
            <wp:positionH relativeFrom="column">
              <wp:posOffset>3126105</wp:posOffset>
            </wp:positionH>
            <wp:positionV relativeFrom="paragraph">
              <wp:posOffset>24765</wp:posOffset>
            </wp:positionV>
            <wp:extent cx="1866900" cy="904875"/>
            <wp:effectExtent l="19050" t="0" r="0" b="0"/>
            <wp:wrapSquare wrapText="bothSides"/>
            <wp:docPr id="1" name="圖片 1" descr="ãå»ééç²å¤§é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ãå»ééç²å¤§éåºãçåçæå°çµæ"/>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396"/>
                    <a:stretch/>
                  </pic:blipFill>
                  <pic:spPr bwMode="auto">
                    <a:xfrm>
                      <a:off x="0" y="0"/>
                      <a:ext cx="1866900" cy="904875"/>
                    </a:xfrm>
                    <a:prstGeom prst="rect">
                      <a:avLst/>
                    </a:prstGeom>
                    <a:noFill/>
                    <a:ln>
                      <a:noFill/>
                    </a:ln>
                    <a:extLst>
                      <a:ext uri="{53640926-AAD7-44D8-BBD7-CCE9431645EC}">
                        <a14:shadowObscured xmlns:a14="http://schemas.microsoft.com/office/drawing/2010/main"/>
                      </a:ext>
                    </a:extLst>
                  </pic:spPr>
                </pic:pic>
              </a:graphicData>
            </a:graphic>
          </wp:anchor>
        </w:drawing>
      </w:r>
      <w:r w:rsidR="003E4ABA">
        <w:rPr>
          <w:noProof/>
        </w:rPr>
        <w:drawing>
          <wp:anchor distT="0" distB="0" distL="114300" distR="114300" simplePos="0" relativeHeight="251656192" behindDoc="0" locked="0" layoutInCell="1" allowOverlap="1">
            <wp:simplePos x="0" y="0"/>
            <wp:positionH relativeFrom="column">
              <wp:posOffset>5078730</wp:posOffset>
            </wp:positionH>
            <wp:positionV relativeFrom="paragraph">
              <wp:posOffset>6350</wp:posOffset>
            </wp:positionV>
            <wp:extent cx="1828800" cy="923925"/>
            <wp:effectExtent l="0" t="0" r="0" b="0"/>
            <wp:wrapSquare wrapText="bothSides"/>
            <wp:docPr id="2" name="圖片 2"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anchor>
        </w:drawing>
      </w:r>
      <w:r w:rsidR="00A67B7F" w:rsidRPr="00A67B7F">
        <w:rPr>
          <w:rFonts w:ascii="標楷體" w:eastAsia="標楷體" w:hAnsi="標楷體" w:hint="eastAsia"/>
          <w:bCs/>
          <w:noProof/>
          <w:color w:val="000000"/>
          <w:szCs w:val="24"/>
        </w:rPr>
        <w:t>廈門靈玲大酒店是由廈門靈玲演藝有限公司投資精心打造，系福建首家馬戲主題及會展酒店。集國際大馬戲表演、主題酒店、動物標本博物館、靈玲動物王國、親子歡樂世界為一體的馬戲主題樂園。</w:t>
      </w:r>
    </w:p>
    <w:p w:rsidR="00A67B7F" w:rsidRDefault="00A67B7F" w:rsidP="00597801">
      <w:pPr>
        <w:spacing w:line="260" w:lineRule="exact"/>
        <w:rPr>
          <w:rFonts w:ascii="標楷體" w:eastAsia="標楷體" w:hAnsi="標楷體"/>
          <w:bCs/>
          <w:noProof/>
          <w:color w:val="000000"/>
          <w:szCs w:val="24"/>
        </w:rPr>
      </w:pPr>
    </w:p>
    <w:p w:rsidR="00597801" w:rsidRPr="00DB7B6E" w:rsidRDefault="00A67B7F"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r w:rsidR="008E12E2">
        <w:rPr>
          <w:rFonts w:ascii="標楷體" w:eastAsia="標楷體" w:hAnsi="標楷體" w:cs="Arial" w:hint="eastAsia"/>
          <w:b/>
          <w:bCs/>
          <w:color w:val="0000FF"/>
          <w:sz w:val="28"/>
          <w:szCs w:val="28"/>
        </w:rPr>
        <w:t>海滄正元希爾頓</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r w:rsidR="003E4ABA">
        <w:rPr>
          <w:rFonts w:ascii="標楷體" w:eastAsia="標楷體" w:hAnsi="標楷體" w:cs="Arial" w:hint="eastAsia"/>
          <w:b/>
          <w:bCs/>
          <w:noProof/>
          <w:color w:val="0000FF"/>
          <w:sz w:val="28"/>
          <w:szCs w:val="28"/>
        </w:rPr>
        <w:t>或同級</w:t>
      </w:r>
    </w:p>
    <w:p w:rsidR="00CC0617" w:rsidRPr="008E12E2" w:rsidRDefault="008E12E2" w:rsidP="00FC307C">
      <w:pPr>
        <w:spacing w:line="260" w:lineRule="exact"/>
        <w:rPr>
          <w:rFonts w:ascii="標楷體" w:eastAsia="標楷體" w:hAnsi="標楷體"/>
          <w:bCs/>
          <w:noProof/>
          <w:color w:val="000000"/>
          <w:szCs w:val="24"/>
        </w:rPr>
      </w:pPr>
      <w:r w:rsidRPr="008E12E2">
        <w:rPr>
          <w:rFonts w:ascii="標楷體" w:eastAsia="標楷體" w:hAnsi="標楷體"/>
          <w:bCs/>
          <w:noProof/>
          <w:color w:val="000000"/>
          <w:szCs w:val="24"/>
        </w:rPr>
        <w:drawing>
          <wp:anchor distT="0" distB="0" distL="114300" distR="114300" simplePos="0" relativeHeight="251655168" behindDoc="1" locked="0" layoutInCell="1" allowOverlap="1">
            <wp:simplePos x="0" y="0"/>
            <wp:positionH relativeFrom="column">
              <wp:posOffset>49530</wp:posOffset>
            </wp:positionH>
            <wp:positionV relativeFrom="paragraph">
              <wp:posOffset>1514475</wp:posOffset>
            </wp:positionV>
            <wp:extent cx="1310005" cy="828675"/>
            <wp:effectExtent l="0" t="0" r="0" b="0"/>
            <wp:wrapTight wrapText="bothSides">
              <wp:wrapPolygon edited="0">
                <wp:start x="0" y="0"/>
                <wp:lineTo x="0" y="21352"/>
                <wp:lineTo x="21359" y="21352"/>
                <wp:lineTo x="2135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00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8240" behindDoc="1" locked="0" layoutInCell="1" allowOverlap="1">
            <wp:simplePos x="0" y="0"/>
            <wp:positionH relativeFrom="column">
              <wp:posOffset>1363980</wp:posOffset>
            </wp:positionH>
            <wp:positionV relativeFrom="paragraph">
              <wp:posOffset>1514475</wp:posOffset>
            </wp:positionV>
            <wp:extent cx="1323975" cy="826135"/>
            <wp:effectExtent l="0" t="0" r="0" b="0"/>
            <wp:wrapTight wrapText="bothSides">
              <wp:wrapPolygon edited="0">
                <wp:start x="0" y="0"/>
                <wp:lineTo x="0" y="20919"/>
                <wp:lineTo x="21445" y="20919"/>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975" cy="82613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7216" behindDoc="1" locked="0" layoutInCell="1" allowOverlap="1">
            <wp:simplePos x="0" y="0"/>
            <wp:positionH relativeFrom="column">
              <wp:posOffset>2687955</wp:posOffset>
            </wp:positionH>
            <wp:positionV relativeFrom="paragraph">
              <wp:posOffset>1514475</wp:posOffset>
            </wp:positionV>
            <wp:extent cx="1343025" cy="828675"/>
            <wp:effectExtent l="0" t="0" r="0" b="0"/>
            <wp:wrapTight wrapText="bothSides">
              <wp:wrapPolygon edited="0">
                <wp:start x="0" y="0"/>
                <wp:lineTo x="0" y="21352"/>
                <wp:lineTo x="21447" y="21352"/>
                <wp:lineTo x="21447" y="0"/>
                <wp:lineTo x="0" y="0"/>
              </wp:wrapPolygon>
            </wp:wrapTight>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3120" behindDoc="1" locked="0" layoutInCell="1" allowOverlap="1">
            <wp:simplePos x="0" y="0"/>
            <wp:positionH relativeFrom="column">
              <wp:posOffset>5375275</wp:posOffset>
            </wp:positionH>
            <wp:positionV relativeFrom="paragraph">
              <wp:posOffset>1514475</wp:posOffset>
            </wp:positionV>
            <wp:extent cx="1339850" cy="828675"/>
            <wp:effectExtent l="0" t="0" r="0" b="0"/>
            <wp:wrapTight wrapText="bothSides">
              <wp:wrapPolygon edited="0">
                <wp:start x="0" y="0"/>
                <wp:lineTo x="0" y="21352"/>
                <wp:lineTo x="21191" y="21352"/>
                <wp:lineTo x="21191"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9850" cy="828675"/>
                    </a:xfrm>
                    <a:prstGeom prst="rect">
                      <a:avLst/>
                    </a:prstGeom>
                  </pic:spPr>
                </pic:pic>
              </a:graphicData>
            </a:graphic>
          </wp:anchor>
        </w:drawing>
      </w:r>
      <w:r w:rsidRPr="008E12E2">
        <w:rPr>
          <w:rFonts w:ascii="標楷體" w:eastAsia="標楷體" w:hAnsi="標楷體"/>
          <w:bCs/>
          <w:noProof/>
          <w:color w:val="000000"/>
          <w:szCs w:val="24"/>
        </w:rPr>
        <w:drawing>
          <wp:anchor distT="0" distB="0" distL="114300" distR="114300" simplePos="0" relativeHeight="251660288" behindDoc="0" locked="0" layoutInCell="1" allowOverlap="1">
            <wp:simplePos x="0" y="0"/>
            <wp:positionH relativeFrom="column">
              <wp:posOffset>4030345</wp:posOffset>
            </wp:positionH>
            <wp:positionV relativeFrom="paragraph">
              <wp:posOffset>1514475</wp:posOffset>
            </wp:positionV>
            <wp:extent cx="1343025" cy="828675"/>
            <wp:effectExtent l="0" t="0" r="0" b="0"/>
            <wp:wrapSquare wrapText="bothSides"/>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43025" cy="828675"/>
                    </a:xfrm>
                    <a:prstGeom prst="rect">
                      <a:avLst/>
                    </a:prstGeom>
                    <a:noFill/>
                    <a:ln>
                      <a:noFill/>
                    </a:ln>
                  </pic:spPr>
                </pic:pic>
              </a:graphicData>
            </a:graphic>
          </wp:anchor>
        </w:drawing>
      </w:r>
      <w:r w:rsidRPr="008E12E2">
        <w:rPr>
          <w:rFonts w:ascii="標楷體" w:eastAsia="標楷體" w:hAnsi="標楷體" w:hint="eastAsia"/>
          <w:bCs/>
          <w:noProof/>
          <w:color w:val="000000"/>
          <w:szCs w:val="24"/>
        </w:rPr>
        <w:t>廈門正元希爾頓逸林酒店位於廈門海滄區核心地帶。酒店距離廈門高崎國際機場</w:t>
      </w:r>
      <w:r w:rsidRPr="008E12E2">
        <w:rPr>
          <w:rFonts w:ascii="標楷體" w:eastAsia="標楷體" w:hAnsi="標楷體"/>
          <w:bCs/>
          <w:noProof/>
          <w:color w:val="000000"/>
          <w:szCs w:val="24"/>
        </w:rPr>
        <w:t>17</w:t>
      </w:r>
      <w:r w:rsidRPr="008E12E2">
        <w:rPr>
          <w:rFonts w:ascii="標楷體" w:eastAsia="標楷體" w:hAnsi="標楷體" w:hint="eastAsia"/>
          <w:bCs/>
          <w:noProof/>
          <w:color w:val="000000"/>
          <w:szCs w:val="24"/>
        </w:rPr>
        <w:t>公里，廈門北站</w:t>
      </w:r>
      <w:r w:rsidRPr="008E12E2">
        <w:rPr>
          <w:rFonts w:ascii="標楷體" w:eastAsia="標楷體" w:hAnsi="標楷體"/>
          <w:bCs/>
          <w:noProof/>
          <w:color w:val="000000"/>
          <w:szCs w:val="24"/>
        </w:rPr>
        <w:t>25</w:t>
      </w:r>
      <w:r w:rsidRPr="008E12E2">
        <w:rPr>
          <w:rFonts w:ascii="標楷體" w:eastAsia="標楷體" w:hAnsi="標楷體" w:hint="eastAsia"/>
          <w:bCs/>
          <w:noProof/>
          <w:color w:val="000000"/>
          <w:szCs w:val="24"/>
        </w:rPr>
        <w:t>公里，廈蓉高速入口</w:t>
      </w:r>
      <w:r w:rsidRPr="008E12E2">
        <w:rPr>
          <w:rFonts w:ascii="標楷體" w:eastAsia="標楷體" w:hAnsi="標楷體"/>
          <w:bCs/>
          <w:noProof/>
          <w:color w:val="000000"/>
          <w:szCs w:val="24"/>
        </w:rPr>
        <w:t>3</w:t>
      </w:r>
      <w:r w:rsidRPr="008E12E2">
        <w:rPr>
          <w:rFonts w:ascii="標楷體" w:eastAsia="標楷體" w:hAnsi="標楷體" w:hint="eastAsia"/>
          <w:bCs/>
          <w:noProof/>
          <w:color w:val="000000"/>
          <w:szCs w:val="24"/>
        </w:rPr>
        <w:t>公里，嵩嶼碼頭</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公里，地理位置優越，交通便利，賓客只需步行即可到達阿羅海城市廣場及海滄市民公園。酒店屹立于美麗的海滄湖畔，將帶給賓客無與倫比的入住體驗。酒店還擁有</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個別具一格的餐廳，包括以粵菜為主的禦璽中餐廳；囊括世界各地美味的</w:t>
      </w:r>
      <w:r w:rsidRPr="008E12E2">
        <w:rPr>
          <w:rFonts w:ascii="標楷體" w:eastAsia="標楷體" w:hAnsi="標楷體"/>
          <w:bCs/>
          <w:noProof/>
          <w:color w:val="000000"/>
          <w:szCs w:val="24"/>
        </w:rPr>
        <w:t>OPEN(</w:t>
      </w:r>
      <w:r w:rsidRPr="008E12E2">
        <w:rPr>
          <w:rFonts w:ascii="標楷體" w:eastAsia="標楷體" w:hAnsi="標楷體" w:hint="eastAsia"/>
          <w:bCs/>
          <w:noProof/>
          <w:color w:val="000000"/>
          <w:szCs w:val="24"/>
        </w:rPr>
        <w:t>開全日餐廳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；主打各地特色麵食的</w:t>
      </w:r>
      <w:r w:rsidRPr="008E12E2">
        <w:rPr>
          <w:rFonts w:ascii="標楷體" w:eastAsia="標楷體" w:hAnsi="標楷體"/>
          <w:bCs/>
          <w:noProof/>
          <w:color w:val="000000"/>
          <w:szCs w:val="24"/>
        </w:rPr>
        <w:t>NoDu(</w:t>
      </w:r>
      <w:r w:rsidRPr="008E12E2">
        <w:rPr>
          <w:rFonts w:ascii="標楷體" w:eastAsia="標楷體" w:hAnsi="標楷體" w:hint="eastAsia"/>
          <w:bCs/>
          <w:noProof/>
          <w:color w:val="000000"/>
          <w:szCs w:val="24"/>
        </w:rPr>
        <w:t>面聚軒</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；呈現各式茗茶、環球美酒佳釀的大堂吧；為美食美酒愛好者帶來全新難忘的味蕾體驗。大型無柱設計豪華宴會廳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萬悅廳面積達</w:t>
      </w:r>
      <w:r w:rsidRPr="008E12E2">
        <w:rPr>
          <w:rFonts w:ascii="標楷體" w:eastAsia="標楷體" w:hAnsi="標楷體"/>
          <w:bCs/>
          <w:noProof/>
          <w:color w:val="000000"/>
          <w:szCs w:val="24"/>
        </w:rPr>
        <w:t>1000</w:t>
      </w:r>
      <w:r w:rsidRPr="008E12E2">
        <w:rPr>
          <w:rFonts w:ascii="標楷體" w:eastAsia="標楷體" w:hAnsi="標楷體" w:hint="eastAsia"/>
          <w:bCs/>
          <w:noProof/>
          <w:color w:val="000000"/>
          <w:szCs w:val="24"/>
        </w:rPr>
        <w:t>平方米，層高</w:t>
      </w:r>
      <w:r w:rsidRPr="008E12E2">
        <w:rPr>
          <w:rFonts w:ascii="標楷體" w:eastAsia="標楷體" w:hAnsi="標楷體"/>
          <w:bCs/>
          <w:noProof/>
          <w:color w:val="000000"/>
          <w:szCs w:val="24"/>
        </w:rPr>
        <w:t>8</w:t>
      </w:r>
      <w:r w:rsidRPr="008E12E2">
        <w:rPr>
          <w:rFonts w:ascii="標楷體" w:eastAsia="標楷體" w:hAnsi="標楷體" w:hint="eastAsia"/>
          <w:bCs/>
          <w:noProof/>
          <w:color w:val="000000"/>
          <w:szCs w:val="24"/>
        </w:rPr>
        <w:t>米，可輕鬆容納</w:t>
      </w:r>
      <w:r w:rsidRPr="008E12E2">
        <w:rPr>
          <w:rFonts w:ascii="標楷體" w:eastAsia="標楷體" w:hAnsi="標楷體"/>
          <w:bCs/>
          <w:noProof/>
          <w:color w:val="000000"/>
          <w:szCs w:val="24"/>
        </w:rPr>
        <w:t>950</w:t>
      </w:r>
      <w:r w:rsidRPr="008E12E2">
        <w:rPr>
          <w:rFonts w:ascii="標楷體" w:eastAsia="標楷體" w:hAnsi="標楷體" w:hint="eastAsia"/>
          <w:bCs/>
          <w:noProof/>
          <w:color w:val="000000"/>
          <w:szCs w:val="24"/>
        </w:rPr>
        <w:t>位賓客；豪華新娘化妝間體貼助力精彩瞬間，專業婚禮管家服務及一站式婚宴服務為賓客量身打造您的動人時刻。</w:t>
      </w:r>
      <w:r w:rsidRPr="008E12E2">
        <w:rPr>
          <w:rFonts w:ascii="標楷體" w:eastAsia="標楷體" w:hAnsi="標楷體"/>
          <w:bCs/>
          <w:noProof/>
          <w:color w:val="000000"/>
          <w:szCs w:val="24"/>
        </w:rPr>
        <w:t>6</w:t>
      </w:r>
      <w:r w:rsidRPr="008E12E2">
        <w:rPr>
          <w:rFonts w:ascii="標楷體" w:eastAsia="標楷體" w:hAnsi="標楷體" w:hint="eastAsia"/>
          <w:bCs/>
          <w:noProof/>
          <w:color w:val="000000"/>
          <w:szCs w:val="24"/>
        </w:rPr>
        <w:t>個靈活多功能廳設計優雅，配備齊全，是舉辦各類會議及宴會的理想場所。設施完善的健身中心、室內恒溫泳池、行政酒廊都能讓賓客在商務旅行或休閒旅行中暢想健康與愜意。</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8E12E2"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精彩馬戲</w:t>
      </w:r>
      <w:r w:rsidR="003E4ABA">
        <w:rPr>
          <w:rFonts w:ascii="標楷體" w:eastAsia="標楷體" w:hAnsi="標楷體" w:cs="Arial" w:hint="eastAsia"/>
          <w:b/>
          <w:bCs/>
          <w:color w:val="7030A0"/>
          <w:sz w:val="28"/>
          <w:szCs w:val="28"/>
        </w:rPr>
        <w:t>大</w:t>
      </w:r>
      <w:r>
        <w:rPr>
          <w:rFonts w:ascii="標楷體" w:eastAsia="標楷體" w:hAnsi="標楷體" w:cs="Arial" w:hint="eastAsia"/>
          <w:b/>
          <w:bCs/>
          <w:color w:val="7030A0"/>
          <w:sz w:val="28"/>
          <w:szCs w:val="28"/>
        </w:rPr>
        <w:t>秀：</w:t>
      </w:r>
      <w:proofErr w:type="gramStart"/>
      <w:r>
        <w:rPr>
          <w:rFonts w:ascii="標楷體" w:eastAsia="標楷體" w:hAnsi="標楷體" w:cs="Arial" w:hint="eastAsia"/>
          <w:b/>
          <w:bCs/>
          <w:color w:val="7030A0"/>
          <w:sz w:val="28"/>
          <w:szCs w:val="28"/>
        </w:rPr>
        <w:t>靈玲大</w:t>
      </w:r>
      <w:proofErr w:type="gramEnd"/>
      <w:r>
        <w:rPr>
          <w:rFonts w:ascii="標楷體" w:eastAsia="標楷體" w:hAnsi="標楷體" w:cs="Arial" w:hint="eastAsia"/>
          <w:b/>
          <w:bCs/>
          <w:color w:val="7030A0"/>
          <w:sz w:val="28"/>
          <w:szCs w:val="28"/>
        </w:rPr>
        <w:t>馬戲</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0109D6" w:rsidP="00597801">
      <w:pPr>
        <w:spacing w:line="280" w:lineRule="exact"/>
        <w:contextualSpacing/>
        <w:rPr>
          <w:rFonts w:ascii="標楷體" w:eastAsia="標楷體" w:hAnsi="標楷體" w:cs="Arial"/>
          <w:b/>
          <w:bCs/>
          <w:color w:val="0000FF"/>
          <w:sz w:val="32"/>
          <w:szCs w:val="32"/>
        </w:rPr>
      </w:pPr>
      <w:r>
        <w:rPr>
          <w:noProof/>
        </w:rPr>
        <w:drawing>
          <wp:anchor distT="0" distB="0" distL="114300" distR="114300" simplePos="0" relativeHeight="251649024" behindDoc="1" locked="0" layoutInCell="1" allowOverlap="1">
            <wp:simplePos x="0" y="0"/>
            <wp:positionH relativeFrom="column">
              <wp:posOffset>4592955</wp:posOffset>
            </wp:positionH>
            <wp:positionV relativeFrom="paragraph">
              <wp:posOffset>208915</wp:posOffset>
            </wp:positionV>
            <wp:extent cx="2143125" cy="1200150"/>
            <wp:effectExtent l="19050" t="0" r="9525" b="0"/>
            <wp:wrapTight wrapText="bothSides">
              <wp:wrapPolygon edited="0">
                <wp:start x="-192" y="0"/>
                <wp:lineTo x="-192" y="21257"/>
                <wp:lineTo x="21696" y="21257"/>
                <wp:lineTo x="21696" y="0"/>
                <wp:lineTo x="-192" y="0"/>
              </wp:wrapPolygon>
            </wp:wrapTight>
            <wp:docPr id="37"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43125" cy="1200150"/>
                    </a:xfrm>
                    <a:prstGeom prst="rect">
                      <a:avLst/>
                    </a:prstGeom>
                    <a:noFill/>
                    <a:ln w="9525">
                      <a:noFill/>
                      <a:miter lim="800000"/>
                      <a:headEnd/>
                      <a:tailEnd/>
                    </a:ln>
                  </pic:spPr>
                </pic:pic>
              </a:graphicData>
            </a:graphic>
          </wp:anchor>
        </w:drawing>
      </w:r>
      <w:r w:rsidR="003E4ABA" w:rsidRPr="00317DCD">
        <w:rPr>
          <w:noProof/>
        </w:rPr>
        <w:drawing>
          <wp:anchor distT="0" distB="0" distL="114300" distR="114300" simplePos="0" relativeHeight="251654144" behindDoc="1" locked="0" layoutInCell="1" allowOverlap="1">
            <wp:simplePos x="0" y="0"/>
            <wp:positionH relativeFrom="column">
              <wp:posOffset>116205</wp:posOffset>
            </wp:positionH>
            <wp:positionV relativeFrom="paragraph">
              <wp:posOffset>219075</wp:posOffset>
            </wp:positionV>
            <wp:extent cx="2143125" cy="1190625"/>
            <wp:effectExtent l="0" t="0" r="0" b="0"/>
            <wp:wrapTight wrapText="bothSides">
              <wp:wrapPolygon edited="0">
                <wp:start x="0" y="0"/>
                <wp:lineTo x="0" y="21427"/>
                <wp:lineTo x="21504" y="21427"/>
                <wp:lineTo x="21504" y="0"/>
                <wp:lineTo x="0" y="0"/>
              </wp:wrapPolygon>
            </wp:wrapTight>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3125" cy="1190625"/>
                    </a:xfrm>
                    <a:prstGeom prst="rect">
                      <a:avLst/>
                    </a:prstGeom>
                    <a:ln>
                      <a:noFill/>
                    </a:ln>
                    <a:extLst>
                      <a:ext uri="{53640926-AAD7-44D8-BBD7-CCE9431645EC}">
                        <a14:shadowObscured xmlns:a14="http://schemas.microsoft.com/office/drawing/2010/main"/>
                      </a:ext>
                    </a:extLst>
                  </pic:spPr>
                </pic:pic>
              </a:graphicData>
            </a:graphic>
          </wp:anchor>
        </w:drawing>
      </w:r>
      <w:r w:rsidR="003E4ABA">
        <w:rPr>
          <w:rFonts w:ascii="標楷體" w:eastAsia="標楷體" w:hAnsi="標楷體" w:cs="Arial" w:hint="eastAsia"/>
          <w:b/>
          <w:bCs/>
          <w:noProof/>
          <w:color w:val="7030A0"/>
          <w:sz w:val="28"/>
          <w:szCs w:val="28"/>
        </w:rPr>
        <w:drawing>
          <wp:anchor distT="0" distB="0" distL="114300" distR="114300" simplePos="0" relativeHeight="251650048" behindDoc="1" locked="0" layoutInCell="1" allowOverlap="1">
            <wp:simplePos x="0" y="0"/>
            <wp:positionH relativeFrom="column">
              <wp:posOffset>2354580</wp:posOffset>
            </wp:positionH>
            <wp:positionV relativeFrom="paragraph">
              <wp:posOffset>209550</wp:posOffset>
            </wp:positionV>
            <wp:extent cx="2147570" cy="1200150"/>
            <wp:effectExtent l="0" t="0" r="0" b="0"/>
            <wp:wrapTight wrapText="bothSides">
              <wp:wrapPolygon edited="0">
                <wp:start x="0" y="0"/>
                <wp:lineTo x="0" y="21257"/>
                <wp:lineTo x="21459" y="21257"/>
                <wp:lineTo x="21459" y="0"/>
                <wp:lineTo x="0" y="0"/>
              </wp:wrapPolygon>
            </wp:wrapTight>
            <wp:docPr id="36"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7570" cy="1200150"/>
                    </a:xfrm>
                    <a:prstGeom prst="rect">
                      <a:avLst/>
                    </a:prstGeom>
                    <a:noFill/>
                    <a:ln w="9525">
                      <a:noFill/>
                      <a:miter lim="800000"/>
                      <a:headEnd/>
                      <a:tailEnd/>
                    </a:ln>
                  </pic:spPr>
                </pic:pic>
              </a:graphicData>
            </a:graphic>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881F46" w:rsidP="00597801">
      <w:pPr>
        <w:pageBreakBefore/>
      </w:pPr>
      <w:r>
        <w:rPr>
          <w:noProof/>
        </w:rPr>
        <w:lastRenderedPageBreak/>
        <w:pict>
          <v:shape id="_x0000_s1031" type="#_x0000_t136" style="position:absolute;margin-left:169.65pt;margin-top:-11.1pt;width:204pt;height:35.85pt;z-index:251663360"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881F46"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52096" wrapcoords="253 0 32 169 -32 2194 -32 3712 0 4388 316 5400 316 5569 3411 8100 3253 8438 3505 10800 4895 11306 4895 15356 5274 16200 6000 16200 16011 16200 16642 16200 16832 15525 16800 13500 17779 10800 17937 8269 20842 5569 21695 5400 21726 5231 21726 675 21316 0 19863 0 253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無購物站無自費行程!&#10;  "/>
            <w10:wrap type="tight"/>
          </v:shape>
        </w:pict>
      </w:r>
      <w:r>
        <w:rPr>
          <w:noProof/>
        </w:rPr>
        <w:pict>
          <v:shape id="_x0000_s1034" type="#_x0000_t136" style="position:absolute;margin-left:-2.1pt;margin-top:16.1pt;width:520.65pt;height:43.3pt;z-index:-251651072" wrapcoords="1712 0 405 372 156 1117 156 5959 -31 11917 187 17876 31 18993 187 20855 1338 21972 14193 21972 21693 21972 21724 18248 21662 1117 20946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981127">
      <w:pPr>
        <w:pStyle w:val="a3"/>
        <w:numPr>
          <w:ilvl w:val="0"/>
          <w:numId w:val="2"/>
        </w:numPr>
        <w:spacing w:line="320" w:lineRule="exact"/>
        <w:ind w:leftChars="0" w:left="1139" w:hanging="1281"/>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217EAD" w:rsidRPr="00BD163D">
        <w:rPr>
          <w:rFonts w:ascii="標楷體" w:eastAsia="標楷體" w:hAnsi="標楷體" w:cs="Arial" w:hint="eastAsia"/>
          <w:b/>
          <w:bCs/>
          <w:color w:val="000000"/>
          <w:sz w:val="28"/>
          <w:szCs w:val="28"/>
        </w:rPr>
        <w:t>、</w:t>
      </w:r>
      <w:r w:rsidR="00203E28">
        <w:rPr>
          <w:rFonts w:ascii="標楷體" w:eastAsia="標楷體" w:hAnsi="標楷體" w:cs="Arial" w:hint="eastAsia"/>
          <w:b/>
          <w:bCs/>
          <w:color w:val="000000"/>
          <w:sz w:val="28"/>
          <w:szCs w:val="28"/>
        </w:rPr>
        <w:t>晚上</w:t>
      </w:r>
      <w:proofErr w:type="gramStart"/>
      <w:r w:rsidR="00203E28">
        <w:rPr>
          <w:rFonts w:ascii="標楷體" w:eastAsia="標楷體" w:hAnsi="標楷體" w:cs="Arial" w:hint="eastAsia"/>
          <w:b/>
          <w:bCs/>
          <w:color w:val="000000"/>
          <w:sz w:val="28"/>
          <w:szCs w:val="28"/>
        </w:rPr>
        <w:t>欣賞</w:t>
      </w:r>
      <w:r w:rsidR="00217EAD">
        <w:rPr>
          <w:rFonts w:ascii="標楷體" w:eastAsia="標楷體" w:hAnsi="標楷體" w:cs="Arial" w:hint="eastAsia"/>
          <w:b/>
          <w:bCs/>
          <w:w w:val="95"/>
          <w:kern w:val="0"/>
          <w:sz w:val="28"/>
          <w:szCs w:val="28"/>
        </w:rPr>
        <w:t>靈玲馬戲</w:t>
      </w:r>
      <w:proofErr w:type="gramEnd"/>
      <w:r w:rsidR="00217EAD">
        <w:rPr>
          <w:rFonts w:ascii="標楷體" w:eastAsia="標楷體" w:hAnsi="標楷體" w:cs="Arial" w:hint="eastAsia"/>
          <w:b/>
          <w:bCs/>
          <w:w w:val="95"/>
          <w:kern w:val="0"/>
          <w:sz w:val="28"/>
          <w:szCs w:val="28"/>
        </w:rPr>
        <w:t>表演</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109D6">
            <w:pPr>
              <w:spacing w:line="320" w:lineRule="exac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109D6">
            <w:pPr>
              <w:spacing w:line="320" w:lineRule="exac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597801" w:rsidRDefault="00597801" w:rsidP="000109D6">
            <w:pPr>
              <w:spacing w:line="32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109D6">
            <w:pPr>
              <w:spacing w:line="320" w:lineRule="exac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0109D6">
            <w:pPr>
              <w:spacing w:line="320" w:lineRule="exac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487F86" w:rsidRPr="000F025B" w:rsidRDefault="0094491B" w:rsidP="000109D6">
            <w:pPr>
              <w:spacing w:line="32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0109D6">
            <w:pPr>
              <w:spacing w:line="320" w:lineRule="exac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1"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217EAD" w:rsidRPr="000F025B" w:rsidTr="000B1F39">
        <w:tc>
          <w:tcPr>
            <w:tcW w:w="841" w:type="pct"/>
          </w:tcPr>
          <w:p w:rsidR="003E4ABA" w:rsidRDefault="00217EAD" w:rsidP="000109D6">
            <w:pPr>
              <w:spacing w:line="320" w:lineRule="exact"/>
              <w:rPr>
                <w:rFonts w:ascii="標楷體" w:eastAsia="標楷體" w:hAnsi="標楷體" w:cs="Arial"/>
                <w:b/>
                <w:bCs/>
                <w:w w:val="90"/>
                <w:szCs w:val="24"/>
              </w:rPr>
            </w:pPr>
            <w:proofErr w:type="gramStart"/>
            <w:r>
              <w:rPr>
                <w:rFonts w:ascii="標楷體" w:eastAsia="標楷體" w:hAnsi="標楷體" w:cs="Arial" w:hint="eastAsia"/>
                <w:b/>
                <w:bCs/>
                <w:w w:val="90"/>
                <w:szCs w:val="24"/>
              </w:rPr>
              <w:t>【</w:t>
            </w:r>
            <w:proofErr w:type="gramEnd"/>
            <w:r>
              <w:rPr>
                <w:rFonts w:ascii="標楷體" w:eastAsia="標楷體" w:hAnsi="標楷體" w:cs="Arial" w:hint="eastAsia"/>
                <w:b/>
                <w:bCs/>
                <w:w w:val="90"/>
                <w:szCs w:val="24"/>
              </w:rPr>
              <w:t>靈玲</w:t>
            </w:r>
            <w:r w:rsidR="003E4ABA">
              <w:rPr>
                <w:rFonts w:ascii="標楷體" w:eastAsia="標楷體" w:hAnsi="標楷體" w:cs="Arial" w:hint="eastAsia"/>
                <w:b/>
                <w:bCs/>
                <w:w w:val="90"/>
                <w:szCs w:val="24"/>
              </w:rPr>
              <w:t>大</w:t>
            </w:r>
            <w:r>
              <w:rPr>
                <w:rFonts w:ascii="標楷體" w:eastAsia="標楷體" w:hAnsi="標楷體" w:cs="Arial" w:hint="eastAsia"/>
                <w:b/>
                <w:bCs/>
                <w:w w:val="90"/>
                <w:szCs w:val="24"/>
              </w:rPr>
              <w:t>馬戲</w:t>
            </w:r>
          </w:p>
          <w:p w:rsidR="00217EAD" w:rsidRDefault="00217EAD" w:rsidP="000109D6">
            <w:pPr>
              <w:spacing w:line="320" w:lineRule="exact"/>
              <w:rPr>
                <w:rFonts w:ascii="標楷體" w:eastAsia="標楷體" w:hAnsi="標楷體"/>
                <w:b/>
              </w:rPr>
            </w:pPr>
            <w:r>
              <w:rPr>
                <w:rFonts w:ascii="標楷體" w:eastAsia="標楷體" w:hAnsi="標楷體" w:cs="Arial" w:hint="eastAsia"/>
                <w:b/>
                <w:bCs/>
                <w:w w:val="90"/>
                <w:szCs w:val="24"/>
              </w:rPr>
              <w:t>表演</w:t>
            </w:r>
            <w:proofErr w:type="gramStart"/>
            <w:r>
              <w:rPr>
                <w:rFonts w:ascii="標楷體" w:eastAsia="標楷體" w:hAnsi="標楷體" w:cs="Arial" w:hint="eastAsia"/>
                <w:b/>
                <w:bCs/>
                <w:w w:val="90"/>
                <w:szCs w:val="24"/>
              </w:rPr>
              <w:t>】</w:t>
            </w:r>
            <w:proofErr w:type="gramEnd"/>
          </w:p>
        </w:tc>
        <w:tc>
          <w:tcPr>
            <w:tcW w:w="4159" w:type="pct"/>
            <w:gridSpan w:val="3"/>
          </w:tcPr>
          <w:p w:rsidR="00217EAD" w:rsidRDefault="00217EAD" w:rsidP="000109D6">
            <w:pPr>
              <w:spacing w:line="320" w:lineRule="exact"/>
              <w:rPr>
                <w:rFonts w:ascii="標楷體" w:eastAsia="標楷體" w:hAnsi="標楷體" w:cs="Arial"/>
                <w:bCs/>
                <w:szCs w:val="24"/>
              </w:rPr>
            </w:pPr>
            <w:r>
              <w:rPr>
                <w:rFonts w:ascii="標楷體" w:eastAsia="標楷體" w:hAnsi="標楷體" w:cs="Arial" w:hint="eastAsia"/>
                <w:bCs/>
                <w:szCs w:val="24"/>
              </w:rPr>
              <w:t>廈門馬戲場館將適合各種藝術形式的演出需要，是目前</w:t>
            </w:r>
            <w:proofErr w:type="gramStart"/>
            <w:r>
              <w:rPr>
                <w:rFonts w:ascii="標楷體" w:eastAsia="標楷體" w:hAnsi="標楷體" w:cs="Arial" w:hint="eastAsia"/>
                <w:bCs/>
                <w:szCs w:val="24"/>
              </w:rPr>
              <w:t>最</w:t>
            </w:r>
            <w:proofErr w:type="gramEnd"/>
            <w:r>
              <w:rPr>
                <w:rFonts w:ascii="標楷體" w:eastAsia="標楷體" w:hAnsi="標楷體" w:cs="Arial" w:hint="eastAsia"/>
                <w:bCs/>
                <w:szCs w:val="24"/>
              </w:rPr>
              <w:t>專業的複合型國際馬戲場館。廈門馬戲城採用多媒體</w:t>
            </w:r>
            <w:proofErr w:type="gramStart"/>
            <w:r>
              <w:rPr>
                <w:rFonts w:ascii="標楷體" w:eastAsia="標楷體" w:hAnsi="標楷體" w:cs="Arial" w:hint="eastAsia"/>
                <w:bCs/>
                <w:szCs w:val="24"/>
              </w:rPr>
              <w:t>數位舞美科技</w:t>
            </w:r>
            <w:proofErr w:type="gramEnd"/>
            <w:r>
              <w:rPr>
                <w:rFonts w:ascii="標楷體" w:eastAsia="標楷體" w:hAnsi="標楷體" w:cs="Arial" w:hint="eastAsia"/>
                <w:bCs/>
                <w:szCs w:val="24"/>
              </w:rPr>
              <w:t>和十多種舞臺模式，安排400多名國外馬戲表演人員和600多隻訓練有素的飛禽走獸、珍奇</w:t>
            </w:r>
            <w:proofErr w:type="gramStart"/>
            <w:r>
              <w:rPr>
                <w:rFonts w:ascii="標楷體" w:eastAsia="標楷體" w:hAnsi="標楷體" w:cs="Arial" w:hint="eastAsia"/>
                <w:bCs/>
                <w:szCs w:val="24"/>
              </w:rPr>
              <w:t>異獸同</w:t>
            </w:r>
            <w:proofErr w:type="gramEnd"/>
            <w:r>
              <w:rPr>
                <w:rFonts w:ascii="標楷體" w:eastAsia="標楷體" w:hAnsi="標楷體" w:cs="Arial" w:hint="eastAsia"/>
                <w:bCs/>
                <w:szCs w:val="24"/>
              </w:rPr>
              <w:t>台演出,觀眾們將欣賞到國際水準最高的馬戲表演。</w:t>
            </w:r>
          </w:p>
        </w:tc>
      </w:tr>
      <w:tr w:rsidR="00597801" w:rsidRPr="000F025B" w:rsidTr="000B1F39">
        <w:tc>
          <w:tcPr>
            <w:tcW w:w="1533" w:type="pct"/>
            <w:gridSpan w:val="2"/>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晚餐：</w:t>
            </w:r>
            <w:r w:rsidR="001E4549">
              <w:rPr>
                <w:rFonts w:ascii="標楷體" w:eastAsia="標楷體" w:hAnsi="標楷體" w:hint="eastAsia"/>
                <w:b/>
                <w:sz w:val="28"/>
                <w:szCs w:val="28"/>
              </w:rPr>
              <w:t>中式合菜</w:t>
            </w:r>
          </w:p>
        </w:tc>
      </w:tr>
      <w:tr w:rsidR="00597801" w:rsidRPr="000F025B" w:rsidTr="000B1F39">
        <w:tc>
          <w:tcPr>
            <w:tcW w:w="5000" w:type="pct"/>
            <w:gridSpan w:val="4"/>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住宿：★★★★★</w:t>
            </w:r>
            <w:r w:rsidR="00217EAD">
              <w:rPr>
                <w:rFonts w:ascii="標楷體" w:eastAsia="標楷體" w:hAnsi="標楷體" w:hint="eastAsia"/>
                <w:b/>
                <w:sz w:val="28"/>
                <w:szCs w:val="28"/>
              </w:rPr>
              <w:t>廈門靈玲大酒店馬戲主題房或</w:t>
            </w:r>
            <w:proofErr w:type="gramStart"/>
            <w:r w:rsidR="00217EAD">
              <w:rPr>
                <w:rFonts w:ascii="標楷體" w:eastAsia="標楷體" w:hAnsi="標楷體" w:hint="eastAsia"/>
                <w:b/>
                <w:sz w:val="28"/>
                <w:szCs w:val="28"/>
              </w:rPr>
              <w:t>成旅晶贊</w:t>
            </w:r>
            <w:proofErr w:type="gramEnd"/>
            <w:r w:rsidR="00217EAD">
              <w:rPr>
                <w:rFonts w:ascii="標楷體" w:eastAsia="標楷體" w:hAnsi="標楷體" w:hint="eastAsia"/>
                <w:b/>
                <w:sz w:val="28"/>
                <w:szCs w:val="28"/>
              </w:rPr>
              <w:t>酒店或同級</w:t>
            </w:r>
          </w:p>
        </w:tc>
      </w:tr>
    </w:tbl>
    <w:p w:rsidR="00597801" w:rsidRPr="00091FA8" w:rsidRDefault="00217EAD" w:rsidP="00C90F07">
      <w:pPr>
        <w:pStyle w:val="a3"/>
        <w:numPr>
          <w:ilvl w:val="0"/>
          <w:numId w:val="2"/>
        </w:numPr>
        <w:spacing w:line="380" w:lineRule="exact"/>
        <w:ind w:leftChars="0"/>
        <w:rPr>
          <w:rFonts w:ascii="標楷體" w:eastAsia="標楷體" w:hAnsi="標楷體"/>
          <w:b/>
          <w:sz w:val="28"/>
          <w:szCs w:val="28"/>
        </w:rPr>
      </w:pPr>
      <w:r>
        <w:rPr>
          <w:rFonts w:ascii="標楷體" w:eastAsia="標楷體" w:hAnsi="標楷體" w:hint="eastAsia"/>
          <w:b/>
          <w:sz w:val="28"/>
          <w:szCs w:val="28"/>
        </w:rPr>
        <w:t>漳州 普照寺</w:t>
      </w:r>
      <w:r>
        <w:rPr>
          <w:rFonts w:ascii="標楷體" w:eastAsia="標楷體" w:hAnsi="標楷體" w:cs="Arial" w:hint="eastAsia"/>
          <w:b/>
          <w:bCs/>
          <w:color w:val="000000"/>
          <w:w w:val="95"/>
          <w:sz w:val="28"/>
          <w:szCs w:val="28"/>
        </w:rPr>
        <w:t>、</w:t>
      </w:r>
      <w:proofErr w:type="gramStart"/>
      <w:r>
        <w:rPr>
          <w:rFonts w:ascii="標楷體" w:eastAsia="標楷體" w:hAnsi="標楷體" w:cs="Arial" w:hint="eastAsia"/>
          <w:b/>
          <w:bCs/>
          <w:color w:val="000000"/>
          <w:w w:val="95"/>
          <w:sz w:val="28"/>
          <w:szCs w:val="28"/>
        </w:rPr>
        <w:t>埭</w:t>
      </w:r>
      <w:proofErr w:type="gramEnd"/>
      <w:r>
        <w:rPr>
          <w:rFonts w:ascii="標楷體" w:eastAsia="標楷體" w:hAnsi="標楷體" w:cs="Arial" w:hint="eastAsia"/>
          <w:b/>
          <w:bCs/>
          <w:color w:val="000000"/>
          <w:w w:val="95"/>
          <w:sz w:val="28"/>
          <w:szCs w:val="28"/>
        </w:rPr>
        <w:t>美古厝(福建省保存最完整的水上古民居)</w:t>
      </w:r>
      <w:r w:rsidR="0077274F" w:rsidRPr="00091FA8">
        <w:rPr>
          <w:rFonts w:ascii="標楷體" w:eastAsia="標楷體" w:hAnsi="標楷體" w:cs="Arial" w:hint="eastAsia"/>
          <w:b/>
          <w:bCs/>
          <w:color w:val="000000"/>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217EAD" w:rsidRPr="000F025B" w:rsidTr="000B1F39">
        <w:tc>
          <w:tcPr>
            <w:tcW w:w="840" w:type="pct"/>
          </w:tcPr>
          <w:p w:rsidR="00F75707" w:rsidRDefault="00F75707" w:rsidP="00F35F1E">
            <w:pPr>
              <w:spacing w:line="0" w:lineRule="atLeast"/>
              <w:rPr>
                <w:rFonts w:ascii="標楷體" w:eastAsia="標楷體" w:hAnsi="標楷體" w:cs="Arial"/>
                <w:b/>
                <w:bCs/>
                <w:color w:val="000000"/>
                <w:w w:val="90"/>
                <w:szCs w:val="24"/>
              </w:rPr>
            </w:pPr>
          </w:p>
          <w:p w:rsidR="00217EAD" w:rsidRPr="00FD752D" w:rsidRDefault="00217EAD" w:rsidP="00F35F1E">
            <w:pPr>
              <w:spacing w:line="0" w:lineRule="atLeast"/>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普照寺】</w:t>
            </w:r>
          </w:p>
        </w:tc>
        <w:tc>
          <w:tcPr>
            <w:tcW w:w="4160" w:type="pct"/>
            <w:gridSpan w:val="3"/>
          </w:tcPr>
          <w:p w:rsidR="00217EAD" w:rsidRPr="00644711" w:rsidRDefault="00217EAD" w:rsidP="00381C12">
            <w:pPr>
              <w:spacing w:line="0" w:lineRule="atLeast"/>
              <w:rPr>
                <w:rFonts w:ascii="標楷體" w:eastAsia="標楷體" w:hAnsi="標楷體"/>
              </w:rPr>
            </w:pPr>
            <w:r w:rsidRPr="00217EAD">
              <w:rPr>
                <w:rFonts w:ascii="標楷體" w:eastAsia="標楷體" w:hAnsi="標楷體" w:hint="eastAsia"/>
              </w:rPr>
              <w:t>位於龍海縣港尾鎮，通往牛頭山古火山口的路上，坐落在南</w:t>
            </w:r>
            <w:proofErr w:type="gramStart"/>
            <w:r w:rsidRPr="00217EAD">
              <w:rPr>
                <w:rFonts w:ascii="標楷體" w:eastAsia="標楷體" w:hAnsi="標楷體" w:hint="eastAsia"/>
              </w:rPr>
              <w:t>太</w:t>
            </w:r>
            <w:proofErr w:type="gramEnd"/>
            <w:r w:rsidRPr="00217EAD">
              <w:rPr>
                <w:rFonts w:ascii="標楷體" w:eastAsia="標楷體" w:hAnsi="標楷體" w:hint="eastAsia"/>
              </w:rPr>
              <w:t>武山腳下，面向大海與廈門島相望，與全國其它寺院建築風格相比，卻大相徑庭，別具一格，它摒棄了傳統寺廟燕</w:t>
            </w:r>
            <w:proofErr w:type="gramStart"/>
            <w:r w:rsidRPr="00217EAD">
              <w:rPr>
                <w:rFonts w:ascii="標楷體" w:eastAsia="標楷體" w:hAnsi="標楷體" w:hint="eastAsia"/>
              </w:rPr>
              <w:t>尾飛簷黃瓦紅</w:t>
            </w:r>
            <w:proofErr w:type="gramEnd"/>
            <w:r w:rsidRPr="00217EAD">
              <w:rPr>
                <w:rFonts w:ascii="標楷體" w:eastAsia="標楷體" w:hAnsi="標楷體" w:hint="eastAsia"/>
              </w:rPr>
              <w:t>牆的建築特點，而成為全國唯一的具有中西合璧現代建築風格的寺廟。</w:t>
            </w:r>
          </w:p>
        </w:tc>
      </w:tr>
      <w:tr w:rsidR="00FC021A" w:rsidRPr="000F025B" w:rsidTr="00091FA8">
        <w:trPr>
          <w:trHeight w:val="274"/>
        </w:trPr>
        <w:tc>
          <w:tcPr>
            <w:tcW w:w="840" w:type="pct"/>
          </w:tcPr>
          <w:p w:rsidR="00F75707" w:rsidRDefault="00F75707" w:rsidP="00B44ACB">
            <w:pPr>
              <w:spacing w:line="0" w:lineRule="atLeast"/>
              <w:jc w:val="center"/>
              <w:rPr>
                <w:rFonts w:ascii="標楷體" w:eastAsia="標楷體" w:hAnsi="標楷體" w:cs="Arial"/>
                <w:b/>
                <w:bCs/>
                <w:color w:val="000000"/>
                <w:w w:val="90"/>
                <w:szCs w:val="24"/>
              </w:rPr>
            </w:pPr>
          </w:p>
          <w:p w:rsidR="00F75707" w:rsidRDefault="00384C10" w:rsidP="00B44ACB">
            <w:pPr>
              <w:spacing w:line="0" w:lineRule="atLeast"/>
              <w:jc w:val="center"/>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p w:rsidR="00F75707" w:rsidRDefault="00F75707" w:rsidP="00B44ACB">
            <w:pPr>
              <w:spacing w:line="0" w:lineRule="atLeast"/>
              <w:jc w:val="center"/>
              <w:rPr>
                <w:rFonts w:ascii="標楷體" w:eastAsia="標楷體" w:hAnsi="標楷體" w:cs="Arial"/>
                <w:b/>
                <w:bCs/>
                <w:color w:val="000000"/>
                <w:w w:val="90"/>
                <w:szCs w:val="24"/>
              </w:rPr>
            </w:pPr>
            <w:r>
              <w:rPr>
                <w:rFonts w:ascii="標楷體" w:eastAsia="標楷體" w:hAnsi="標楷體" w:cs="Arial" w:hint="eastAsia"/>
                <w:b/>
                <w:bCs/>
                <w:color w:val="000000"/>
                <w:w w:val="90"/>
                <w:szCs w:val="24"/>
              </w:rPr>
              <w:t>福</w:t>
            </w:r>
            <w:r w:rsidRPr="00F75707">
              <w:rPr>
                <w:rFonts w:ascii="標楷體" w:eastAsia="標楷體" w:hAnsi="標楷體" w:cs="Arial" w:hint="eastAsia"/>
                <w:b/>
                <w:bCs/>
                <w:color w:val="000000"/>
                <w:w w:val="90"/>
                <w:szCs w:val="24"/>
              </w:rPr>
              <w:t>建省保存</w:t>
            </w:r>
          </w:p>
          <w:p w:rsidR="00F75707" w:rsidRDefault="00F75707" w:rsidP="00B44ACB">
            <w:pPr>
              <w:spacing w:line="0" w:lineRule="atLeast"/>
              <w:jc w:val="center"/>
              <w:rPr>
                <w:rFonts w:ascii="標楷體" w:eastAsia="標楷體" w:hAnsi="標楷體" w:cs="Arial"/>
                <w:b/>
                <w:bCs/>
                <w:color w:val="000000"/>
                <w:w w:val="90"/>
                <w:szCs w:val="24"/>
              </w:rPr>
            </w:pPr>
            <w:r w:rsidRPr="00F75707">
              <w:rPr>
                <w:rFonts w:ascii="標楷體" w:eastAsia="標楷體" w:hAnsi="標楷體" w:cs="Arial" w:hint="eastAsia"/>
                <w:b/>
                <w:bCs/>
                <w:color w:val="000000"/>
                <w:w w:val="90"/>
                <w:szCs w:val="24"/>
              </w:rPr>
              <w:t>最完整的</w:t>
            </w:r>
          </w:p>
          <w:p w:rsidR="00FC021A" w:rsidRPr="00FD752D" w:rsidRDefault="00F75707" w:rsidP="00B44ACB">
            <w:pPr>
              <w:spacing w:line="0" w:lineRule="atLeast"/>
              <w:jc w:val="center"/>
              <w:rPr>
                <w:rFonts w:ascii="標楷體" w:eastAsia="標楷體" w:hAnsi="標楷體"/>
                <w:b/>
              </w:rPr>
            </w:pPr>
            <w:r w:rsidRPr="00F75707">
              <w:rPr>
                <w:rFonts w:ascii="標楷體" w:eastAsia="標楷體" w:hAnsi="標楷體" w:cs="Arial" w:hint="eastAsia"/>
                <w:b/>
                <w:bCs/>
                <w:color w:val="000000"/>
                <w:w w:val="90"/>
                <w:szCs w:val="24"/>
              </w:rPr>
              <w:t>水上古民居</w:t>
            </w:r>
          </w:p>
        </w:tc>
        <w:tc>
          <w:tcPr>
            <w:tcW w:w="4160" w:type="pct"/>
            <w:gridSpan w:val="3"/>
          </w:tcPr>
          <w:p w:rsidR="009C3C03" w:rsidRPr="00B44ACB" w:rsidRDefault="00384C10" w:rsidP="009C75C2">
            <w:pPr>
              <w:spacing w:line="280" w:lineRule="exact"/>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1275" w:type="pct"/>
            <w:gridSpan w:val="2"/>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4A691F" w:rsidRDefault="00FC021A" w:rsidP="00C90F07">
            <w:pPr>
              <w:spacing w:line="380" w:lineRule="exact"/>
              <w:rPr>
                <w:rFonts w:ascii="標楷體" w:eastAsia="標楷體" w:hAnsi="標楷體"/>
                <w:b/>
                <w:sz w:val="20"/>
                <w:szCs w:val="20"/>
              </w:rPr>
            </w:pPr>
            <w:r w:rsidRPr="00935438">
              <w:rPr>
                <w:rFonts w:ascii="標楷體" w:eastAsia="標楷體" w:hAnsi="標楷體" w:hint="eastAsia"/>
                <w:b/>
                <w:sz w:val="28"/>
                <w:szCs w:val="28"/>
              </w:rPr>
              <w:t>住宿：</w:t>
            </w:r>
            <w:r w:rsidR="00217EAD" w:rsidRPr="00217EAD">
              <w:rPr>
                <w:rFonts w:ascii="標楷體" w:eastAsia="標楷體" w:hAnsi="標楷體" w:hint="eastAsia"/>
                <w:b/>
                <w:sz w:val="28"/>
                <w:szCs w:val="28"/>
              </w:rPr>
              <w:t>廈門</w:t>
            </w:r>
            <w:r w:rsidR="00217EAD">
              <w:rPr>
                <w:rFonts w:ascii="標楷體" w:eastAsia="標楷體" w:hAnsi="標楷體" w:hint="eastAsia"/>
                <w:b/>
                <w:sz w:val="28"/>
                <w:szCs w:val="28"/>
              </w:rPr>
              <w:t>海滄正元希爾頓</w:t>
            </w:r>
            <w:proofErr w:type="gramStart"/>
            <w:r w:rsidR="00217EAD">
              <w:rPr>
                <w:rFonts w:ascii="標楷體" w:eastAsia="標楷體" w:hAnsi="標楷體" w:hint="eastAsia"/>
                <w:b/>
                <w:sz w:val="28"/>
                <w:szCs w:val="28"/>
              </w:rPr>
              <w:t>或</w:t>
            </w:r>
            <w:r w:rsidR="00091FA8">
              <w:rPr>
                <w:rFonts w:ascii="標楷體" w:eastAsia="標楷體" w:hAnsi="標楷體" w:hint="eastAsia"/>
                <w:b/>
                <w:sz w:val="28"/>
                <w:szCs w:val="28"/>
              </w:rPr>
              <w:t>逸林</w:t>
            </w:r>
            <w:proofErr w:type="gramEnd"/>
            <w:r w:rsidR="00217EAD">
              <w:rPr>
                <w:rFonts w:ascii="標楷體" w:eastAsia="標楷體" w:hAnsi="標楷體" w:hint="eastAsia"/>
                <w:b/>
                <w:sz w:val="28"/>
                <w:szCs w:val="28"/>
              </w:rPr>
              <w:t>希爾頓</w:t>
            </w:r>
            <w:r w:rsidR="00091FA8">
              <w:rPr>
                <w:rFonts w:ascii="標楷體" w:eastAsia="標楷體" w:hAnsi="標楷體" w:hint="eastAsia"/>
                <w:b/>
                <w:sz w:val="28"/>
                <w:szCs w:val="28"/>
              </w:rPr>
              <w:t>酒店或同級</w:t>
            </w:r>
          </w:p>
        </w:tc>
      </w:tr>
    </w:tbl>
    <w:p w:rsidR="00091FA8" w:rsidRDefault="00597801" w:rsidP="00C90F07">
      <w:pPr>
        <w:pStyle w:val="a3"/>
        <w:numPr>
          <w:ilvl w:val="0"/>
          <w:numId w:val="1"/>
        </w:numPr>
        <w:spacing w:line="420" w:lineRule="exact"/>
        <w:ind w:leftChars="0" w:left="822"/>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lastRenderedPageBreak/>
        <w:t>廈門</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9C75C2" w:rsidRDefault="00597801" w:rsidP="00C90F07">
      <w:pPr>
        <w:pStyle w:val="a3"/>
        <w:spacing w:line="420" w:lineRule="exact"/>
        <w:ind w:leftChars="0" w:left="822"/>
        <w:rPr>
          <w:rFonts w:ascii="標楷體" w:eastAsia="標楷體" w:hAnsi="標楷體" w:cs="Arial"/>
          <w:b/>
          <w:bCs/>
          <w:color w:val="000000"/>
          <w:sz w:val="28"/>
          <w:szCs w:val="28"/>
        </w:rPr>
      </w:pPr>
      <w:r w:rsidRPr="00091FA8">
        <w:rPr>
          <w:rFonts w:ascii="標楷體" w:eastAsia="標楷體" w:hAnsi="標楷體" w:cs="Arial" w:hint="eastAsia"/>
          <w:b/>
          <w:bCs/>
          <w:color w:val="000000"/>
          <w:sz w:val="28"/>
          <w:szCs w:val="28"/>
        </w:rPr>
        <w:t>乘渡輪至鼓浪嶼島上漫步萬國建築</w:t>
      </w:r>
      <w:r w:rsidR="00091FA8" w:rsidRPr="00091FA8">
        <w:rPr>
          <w:rFonts w:ascii="標楷體" w:eastAsia="標楷體" w:hAnsi="標楷體" w:cs="Arial" w:hint="eastAsia"/>
          <w:b/>
          <w:bCs/>
          <w:color w:val="000000"/>
          <w:sz w:val="28"/>
          <w:szCs w:val="28"/>
        </w:rPr>
        <w:t>、</w:t>
      </w:r>
      <w:r w:rsidR="00091FA8" w:rsidRPr="009C75C2">
        <w:rPr>
          <w:rFonts w:ascii="標楷體" w:eastAsia="標楷體" w:hAnsi="標楷體" w:cs="Arial" w:hint="eastAsia"/>
          <w:b/>
          <w:bCs/>
          <w:color w:val="000000"/>
          <w:sz w:val="28"/>
          <w:szCs w:val="28"/>
        </w:rPr>
        <w:t>日本領事館、</w:t>
      </w:r>
      <w:r w:rsidRPr="009C75C2">
        <w:rPr>
          <w:rFonts w:ascii="標楷體" w:eastAsia="標楷體" w:hAnsi="標楷體" w:cs="Arial" w:hint="eastAsia"/>
          <w:b/>
          <w:bCs/>
          <w:color w:val="000000"/>
          <w:sz w:val="28"/>
          <w:szCs w:val="28"/>
        </w:rPr>
        <w:t>美國領事館、</w:t>
      </w:r>
    </w:p>
    <w:p w:rsidR="00597801" w:rsidRPr="009C75C2" w:rsidRDefault="00597801" w:rsidP="00C90F07">
      <w:pPr>
        <w:pStyle w:val="a3"/>
        <w:spacing w:line="420" w:lineRule="exact"/>
        <w:ind w:leftChars="0" w:left="822"/>
        <w:rPr>
          <w:rFonts w:ascii="標楷體" w:eastAsia="標楷體" w:hAnsi="標楷體" w:cs="Arial"/>
          <w:b/>
          <w:bCs/>
          <w:color w:val="000000"/>
          <w:sz w:val="28"/>
          <w:szCs w:val="28"/>
        </w:rPr>
      </w:pPr>
      <w:r w:rsidRPr="009C75C2">
        <w:rPr>
          <w:rFonts w:ascii="標楷體" w:eastAsia="標楷體" w:hAnsi="標楷體" w:cs="Arial" w:hint="eastAsia"/>
          <w:b/>
          <w:bCs/>
          <w:color w:val="000000"/>
          <w:sz w:val="28"/>
          <w:szCs w:val="28"/>
        </w:rPr>
        <w:t>天主教堂</w:t>
      </w:r>
      <w:r w:rsidR="00F9165D" w:rsidRPr="009C75C2">
        <w:rPr>
          <w:rFonts w:ascii="標楷體" w:eastAsia="標楷體" w:hAnsi="標楷體" w:cs="Arial" w:hint="eastAsia"/>
          <w:b/>
          <w:bCs/>
          <w:color w:val="000000"/>
          <w:sz w:val="28"/>
          <w:szCs w:val="28"/>
        </w:rPr>
        <w:t>-</w:t>
      </w:r>
      <w:r w:rsidRPr="009C75C2">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600741">
            <w:pPr>
              <w:spacing w:line="36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600741">
            <w:pPr>
              <w:spacing w:line="360" w:lineRule="exac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rsidP="00600741">
            <w:pPr>
              <w:spacing w:line="360" w:lineRule="exac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rsidP="00600741">
            <w:pPr>
              <w:spacing w:line="360" w:lineRule="exac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F75707" w:rsidRDefault="00597801"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乘渡輪至</w:t>
            </w:r>
          </w:p>
          <w:p w:rsidR="00F75707" w:rsidRDefault="00597801" w:rsidP="00600741">
            <w:pPr>
              <w:spacing w:line="360" w:lineRule="exact"/>
              <w:rPr>
                <w:rFonts w:ascii="標楷體" w:eastAsia="標楷體" w:hAnsi="標楷體" w:cs="Arial"/>
                <w:b/>
                <w:bCs/>
                <w:color w:val="000000"/>
                <w:szCs w:val="24"/>
              </w:rPr>
            </w:pPr>
            <w:r w:rsidRPr="000F025B">
              <w:rPr>
                <w:rFonts w:ascii="標楷體" w:eastAsia="標楷體" w:hAnsi="標楷體" w:cs="Arial" w:hint="eastAsia"/>
                <w:b/>
                <w:bCs/>
                <w:color w:val="000000"/>
                <w:szCs w:val="24"/>
              </w:rPr>
              <w:t>【鼓浪嶼】</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漫步萬國建築日本領事館、</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美國領事館、</w:t>
            </w:r>
          </w:p>
          <w:p w:rsidR="00597801" w:rsidRPr="000F025B"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天主教堂</w:t>
            </w:r>
          </w:p>
        </w:tc>
        <w:tc>
          <w:tcPr>
            <w:tcW w:w="4159" w:type="pct"/>
            <w:gridSpan w:val="3"/>
          </w:tcPr>
          <w:p w:rsidR="00597801" w:rsidRPr="000F025B" w:rsidRDefault="00597801" w:rsidP="00600741">
            <w:pPr>
              <w:pStyle w:val="a3"/>
              <w:spacing w:line="36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C90F07">
      <w:pPr>
        <w:pStyle w:val="a3"/>
        <w:numPr>
          <w:ilvl w:val="0"/>
          <w:numId w:val="1"/>
        </w:numPr>
        <w:spacing w:line="420" w:lineRule="exact"/>
        <w:ind w:leftChars="0" w:left="822" w:hanging="822"/>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F75707" w:rsidRDefault="00F75707" w:rsidP="00600741">
            <w:pPr>
              <w:spacing w:line="360" w:lineRule="exact"/>
              <w:rPr>
                <w:rFonts w:ascii="標楷體" w:eastAsia="標楷體" w:hAnsi="標楷體" w:cs="Arial"/>
                <w:b/>
                <w:bCs/>
                <w:color w:val="000000" w:themeColor="text1"/>
                <w:szCs w:val="24"/>
              </w:rPr>
            </w:pPr>
          </w:p>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F75707" w:rsidRDefault="00F75707" w:rsidP="00600741">
            <w:pPr>
              <w:spacing w:line="360" w:lineRule="exact"/>
              <w:ind w:left="721" w:hangingChars="300" w:hanging="721"/>
              <w:rPr>
                <w:rFonts w:ascii="標楷體" w:eastAsia="標楷體" w:hAnsi="標楷體" w:cs="Arial"/>
                <w:b/>
                <w:bCs/>
                <w:color w:val="000000" w:themeColor="text1"/>
                <w:szCs w:val="24"/>
              </w:rPr>
            </w:pPr>
          </w:p>
          <w:p w:rsidR="00597801" w:rsidRPr="00A5463F" w:rsidRDefault="003E30F3" w:rsidP="00600741">
            <w:pPr>
              <w:spacing w:line="360" w:lineRule="exac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9C75C2" w:rsidRPr="00662FB5" w:rsidRDefault="00597801" w:rsidP="00662FB5">
      <w:pPr>
        <w:pStyle w:val="ab"/>
        <w:spacing w:line="340" w:lineRule="exact"/>
        <w:jc w:val="left"/>
      </w:pPr>
      <w:r w:rsidRPr="00CB45A8">
        <w:rPr>
          <w:rFonts w:hint="eastAsia"/>
        </w:rPr>
        <w:t>【備註】</w:t>
      </w:r>
    </w:p>
    <w:p w:rsidR="00597801" w:rsidRPr="00CB45A8" w:rsidRDefault="00597801" w:rsidP="00981127">
      <w:pPr>
        <w:spacing w:line="3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p>
    <w:p w:rsidR="00203E28" w:rsidRDefault="006C2F86"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w:t>
      </w:r>
      <w:r w:rsidR="00F75707" w:rsidRPr="00CB45A8">
        <w:rPr>
          <w:rFonts w:ascii="標楷體" w:eastAsia="標楷體" w:hAnsi="標楷體" w:cs="Arial" w:hint="eastAsia"/>
          <w:bCs/>
          <w:color w:val="000000"/>
          <w:szCs w:val="24"/>
        </w:rPr>
        <w:t>諒。</w:t>
      </w:r>
    </w:p>
    <w:p w:rsidR="00597801" w:rsidRPr="00CB45A8" w:rsidRDefault="00091FA8" w:rsidP="00662FB5">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.以上優惠報價，需全程隨團，</w:t>
      </w:r>
      <w:proofErr w:type="gramStart"/>
      <w:r w:rsidR="00597801" w:rsidRPr="00CB45A8">
        <w:rPr>
          <w:rFonts w:ascii="標楷體" w:eastAsia="標楷體" w:hAnsi="標楷體" w:cs="Arial" w:hint="eastAsia"/>
          <w:bCs/>
          <w:color w:val="000000"/>
          <w:szCs w:val="24"/>
        </w:rPr>
        <w:t>並團進團出</w:t>
      </w:r>
      <w:proofErr w:type="gramEnd"/>
      <w:r w:rsidR="00597801" w:rsidRPr="00CB45A8">
        <w:rPr>
          <w:rFonts w:ascii="標楷體" w:eastAsia="標楷體" w:hAnsi="標楷體" w:cs="Arial" w:hint="eastAsia"/>
          <w:bCs/>
          <w:color w:val="000000"/>
          <w:szCs w:val="24"/>
        </w:rPr>
        <w:t>，恕無法接受中途脫隊要求。</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67693C" w:rsidRPr="00F75707" w:rsidRDefault="0067693C" w:rsidP="00662FB5">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※如因航空公司航班調度，導致起飛或降落時間變動，則本公司</w:t>
      </w:r>
      <w:proofErr w:type="gramStart"/>
      <w:r w:rsidRPr="00F75707">
        <w:rPr>
          <w:rFonts w:ascii="標楷體" w:eastAsia="標楷體" w:hAnsi="標楷體" w:cs="Arial" w:hint="eastAsia"/>
          <w:bCs/>
          <w:color w:val="000000"/>
          <w:szCs w:val="24"/>
        </w:rPr>
        <w:t>保留更餐食</w:t>
      </w:r>
      <w:proofErr w:type="gramEnd"/>
      <w:r w:rsidRPr="00F75707">
        <w:rPr>
          <w:rFonts w:ascii="標楷體" w:eastAsia="標楷體" w:hAnsi="標楷體" w:cs="Arial" w:hint="eastAsia"/>
          <w:bCs/>
          <w:color w:val="000000"/>
          <w:szCs w:val="24"/>
        </w:rPr>
        <w:t>之權利，敬請旅客見諒。</w:t>
      </w:r>
    </w:p>
    <w:p w:rsidR="00F75707"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※如貴賓為單1人報名時，若經旅行社協助配對卻無法</w:t>
      </w:r>
      <w:proofErr w:type="gramStart"/>
      <w:r w:rsidRPr="00F75707">
        <w:rPr>
          <w:rFonts w:ascii="標楷體" w:eastAsia="標楷體" w:hAnsi="標楷體" w:cs="Arial" w:hint="eastAsia"/>
          <w:bCs/>
          <w:color w:val="000000"/>
          <w:szCs w:val="24"/>
        </w:rPr>
        <w:t>覓得合住的</w:t>
      </w:r>
      <w:proofErr w:type="gramEnd"/>
      <w:r w:rsidRPr="00F75707">
        <w:rPr>
          <w:rFonts w:ascii="標楷體" w:eastAsia="標楷體" w:hAnsi="標楷體" w:cs="Arial" w:hint="eastAsia"/>
          <w:bCs/>
          <w:color w:val="000000"/>
          <w:szCs w:val="24"/>
        </w:rPr>
        <w:t>同性旅客時，則需另補單人房差額，</w:t>
      </w:r>
    </w:p>
    <w:p w:rsidR="0067693C"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差額視住宿飯店之不同由旅行社另行報價，敬請了解並見諒，謝謝!</w:t>
      </w:r>
    </w:p>
    <w:sectPr w:rsidR="0067693C" w:rsidRPr="00F75707" w:rsidSect="003526CA">
      <w:headerReference w:type="even" r:id="rId22"/>
      <w:headerReference w:type="default" r:id="rId23"/>
      <w:headerReference w:type="first" r:id="rId24"/>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46" w:rsidRDefault="00881F46" w:rsidP="00E34B2D">
      <w:r>
        <w:separator/>
      </w:r>
    </w:p>
  </w:endnote>
  <w:endnote w:type="continuationSeparator" w:id="0">
    <w:p w:rsidR="00881F46" w:rsidRDefault="00881F46"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46" w:rsidRDefault="00881F46" w:rsidP="00E34B2D">
      <w:r>
        <w:separator/>
      </w:r>
    </w:p>
  </w:footnote>
  <w:footnote w:type="continuationSeparator" w:id="0">
    <w:p w:rsidR="00881F46" w:rsidRDefault="00881F46"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881F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881F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881F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801"/>
    <w:rsid w:val="00000F34"/>
    <w:rsid w:val="000109D6"/>
    <w:rsid w:val="00010A35"/>
    <w:rsid w:val="0003550A"/>
    <w:rsid w:val="000436D7"/>
    <w:rsid w:val="00056D8F"/>
    <w:rsid w:val="000606A1"/>
    <w:rsid w:val="00070227"/>
    <w:rsid w:val="000716C5"/>
    <w:rsid w:val="0007218F"/>
    <w:rsid w:val="00081787"/>
    <w:rsid w:val="00091FA8"/>
    <w:rsid w:val="000F09F7"/>
    <w:rsid w:val="000F13F8"/>
    <w:rsid w:val="00104DE5"/>
    <w:rsid w:val="001065A6"/>
    <w:rsid w:val="00145818"/>
    <w:rsid w:val="00155227"/>
    <w:rsid w:val="001645F5"/>
    <w:rsid w:val="00170A28"/>
    <w:rsid w:val="0019136D"/>
    <w:rsid w:val="001B2900"/>
    <w:rsid w:val="001B7DBE"/>
    <w:rsid w:val="001D1AF0"/>
    <w:rsid w:val="001E4549"/>
    <w:rsid w:val="001E5B9C"/>
    <w:rsid w:val="00203E28"/>
    <w:rsid w:val="00210EC4"/>
    <w:rsid w:val="00216799"/>
    <w:rsid w:val="00216B55"/>
    <w:rsid w:val="00217EAD"/>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31C"/>
    <w:rsid w:val="00350A1A"/>
    <w:rsid w:val="00354920"/>
    <w:rsid w:val="0036286C"/>
    <w:rsid w:val="00371B62"/>
    <w:rsid w:val="00381C12"/>
    <w:rsid w:val="00384C10"/>
    <w:rsid w:val="003979D3"/>
    <w:rsid w:val="003B6916"/>
    <w:rsid w:val="003D0C32"/>
    <w:rsid w:val="003D1949"/>
    <w:rsid w:val="003E30F3"/>
    <w:rsid w:val="003E4ABA"/>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00741"/>
    <w:rsid w:val="00615A6B"/>
    <w:rsid w:val="00633447"/>
    <w:rsid w:val="00640002"/>
    <w:rsid w:val="00641EE6"/>
    <w:rsid w:val="00644711"/>
    <w:rsid w:val="006572DE"/>
    <w:rsid w:val="00662FB5"/>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1F46"/>
    <w:rsid w:val="00885618"/>
    <w:rsid w:val="008B1707"/>
    <w:rsid w:val="008C2AF2"/>
    <w:rsid w:val="008C5607"/>
    <w:rsid w:val="008D7FD7"/>
    <w:rsid w:val="008E12E2"/>
    <w:rsid w:val="008F74BF"/>
    <w:rsid w:val="008F7765"/>
    <w:rsid w:val="009004D5"/>
    <w:rsid w:val="0093778D"/>
    <w:rsid w:val="0094491B"/>
    <w:rsid w:val="00950467"/>
    <w:rsid w:val="00953824"/>
    <w:rsid w:val="0095396D"/>
    <w:rsid w:val="00953DC8"/>
    <w:rsid w:val="0095774F"/>
    <w:rsid w:val="00981127"/>
    <w:rsid w:val="00981328"/>
    <w:rsid w:val="00983D6C"/>
    <w:rsid w:val="00992A42"/>
    <w:rsid w:val="009A6CC5"/>
    <w:rsid w:val="009A7A23"/>
    <w:rsid w:val="009B4AB1"/>
    <w:rsid w:val="009C31FE"/>
    <w:rsid w:val="009C3C03"/>
    <w:rsid w:val="009C3EB8"/>
    <w:rsid w:val="009C75C2"/>
    <w:rsid w:val="009F3FF7"/>
    <w:rsid w:val="009F4936"/>
    <w:rsid w:val="00A167EC"/>
    <w:rsid w:val="00A174BE"/>
    <w:rsid w:val="00A237F0"/>
    <w:rsid w:val="00A324DA"/>
    <w:rsid w:val="00A468DE"/>
    <w:rsid w:val="00A51E19"/>
    <w:rsid w:val="00A5463F"/>
    <w:rsid w:val="00A547F4"/>
    <w:rsid w:val="00A67B7F"/>
    <w:rsid w:val="00A70AA4"/>
    <w:rsid w:val="00A83203"/>
    <w:rsid w:val="00A87C3E"/>
    <w:rsid w:val="00AA678D"/>
    <w:rsid w:val="00AC4AA8"/>
    <w:rsid w:val="00AE660D"/>
    <w:rsid w:val="00AF7D3B"/>
    <w:rsid w:val="00B11342"/>
    <w:rsid w:val="00B14F3B"/>
    <w:rsid w:val="00B40084"/>
    <w:rsid w:val="00B44ACB"/>
    <w:rsid w:val="00B569B4"/>
    <w:rsid w:val="00B60BA6"/>
    <w:rsid w:val="00B6569E"/>
    <w:rsid w:val="00B852C2"/>
    <w:rsid w:val="00B91861"/>
    <w:rsid w:val="00BA2E99"/>
    <w:rsid w:val="00BB1BEA"/>
    <w:rsid w:val="00BF48FC"/>
    <w:rsid w:val="00BF4C97"/>
    <w:rsid w:val="00C06C92"/>
    <w:rsid w:val="00C437E2"/>
    <w:rsid w:val="00C74B79"/>
    <w:rsid w:val="00C815D8"/>
    <w:rsid w:val="00C90F07"/>
    <w:rsid w:val="00C97DD4"/>
    <w:rsid w:val="00CB0774"/>
    <w:rsid w:val="00CB4846"/>
    <w:rsid w:val="00CB7E6A"/>
    <w:rsid w:val="00CC0617"/>
    <w:rsid w:val="00CC4622"/>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21752"/>
    <w:rsid w:val="00F35F1E"/>
    <w:rsid w:val="00F50DAC"/>
    <w:rsid w:val="00F50E12"/>
    <w:rsid w:val="00F5679B"/>
    <w:rsid w:val="00F62E5A"/>
    <w:rsid w:val="00F66EE4"/>
    <w:rsid w:val="00F677FB"/>
    <w:rsid w:val="00F75707"/>
    <w:rsid w:val="00F82ADA"/>
    <w:rsid w:val="00F9165D"/>
    <w:rsid w:val="00F93628"/>
    <w:rsid w:val="00FA0945"/>
    <w:rsid w:val="00FC021A"/>
    <w:rsid w:val="00FC307C"/>
    <w:rsid w:val="00FC7AFC"/>
    <w:rsid w:val="00FF4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 w:id="709692619">
      <w:bodyDiv w:val="1"/>
      <w:marLeft w:val="0"/>
      <w:marRight w:val="0"/>
      <w:marTop w:val="0"/>
      <w:marBottom w:val="0"/>
      <w:divBdr>
        <w:top w:val="none" w:sz="0" w:space="0" w:color="auto"/>
        <w:left w:val="none" w:sz="0" w:space="0" w:color="auto"/>
        <w:bottom w:val="none" w:sz="0" w:space="0" w:color="auto"/>
        <w:right w:val="none" w:sz="0" w:space="0" w:color="auto"/>
      </w:divBdr>
    </w:div>
    <w:div w:id="1907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item/%E5%8E%A6%E9%97%A8"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E60CE-9EDA-4BD5-952A-2960ED3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3</cp:revision>
  <cp:lastPrinted>2017-07-07T08:19:00Z</cp:lastPrinted>
  <dcterms:created xsi:type="dcterms:W3CDTF">2018-12-03T05:22:00Z</dcterms:created>
  <dcterms:modified xsi:type="dcterms:W3CDTF">2018-12-03T05:23:00Z</dcterms:modified>
</cp:coreProperties>
</file>