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FF" w:rsidRDefault="00C4309D">
      <w:pPr>
        <w:jc w:val="center"/>
        <w:rPr>
          <w:rFonts w:ascii="微軟正黑體" w:eastAsia="微軟正黑體"/>
          <w:b/>
          <w:sz w:val="64"/>
          <w:szCs w:val="64"/>
        </w:rPr>
      </w:pPr>
      <w:r>
        <w:rPr>
          <w:rFonts w:ascii="微軟正黑體" w:eastAsia="微軟正黑體" w:hint="eastAsia"/>
          <w:b/>
          <w:sz w:val="64"/>
          <w:szCs w:val="64"/>
        </w:rPr>
        <w:t>超值杜拜．阿布達比圓夢七</w:t>
      </w:r>
      <w:r w:rsidR="008A6010">
        <w:rPr>
          <w:rFonts w:ascii="微軟正黑體" w:eastAsia="微軟正黑體" w:hint="eastAsia"/>
          <w:b/>
          <w:sz w:val="64"/>
          <w:szCs w:val="64"/>
        </w:rPr>
        <w:t>天</w:t>
      </w:r>
    </w:p>
    <w:p w:rsidR="00417EFF" w:rsidRDefault="002D28A0">
      <w:pPr>
        <w:jc w:val="center"/>
        <w:rPr>
          <w:rFonts w:ascii="微軟正黑體" w:eastAsia="微軟正黑體"/>
          <w:sz w:val="32"/>
          <w:szCs w:val="32"/>
        </w:rPr>
      </w:pPr>
      <w:bookmarkStart w:id="0" w:name="_GoBack"/>
      <w:r>
        <w:rPr>
          <w:rFonts w:ascii="微軟正黑體" w:eastAsia="微軟正黑體"/>
          <w:noProof/>
          <w:sz w:val="32"/>
          <w:szCs w:val="32"/>
        </w:rPr>
        <w:drawing>
          <wp:inline distT="0" distB="0" distL="0" distR="0">
            <wp:extent cx="6964054" cy="3181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未命名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9010" cy="317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17EFF" w:rsidRDefault="00C4309D">
      <w:pPr>
        <w:jc w:val="right"/>
        <w:rPr>
          <w:rFonts w:ascii="微軟正黑體" w:eastAsia="微軟正黑體"/>
        </w:rPr>
      </w:pPr>
      <w:r>
        <w:rPr>
          <w:rFonts w:ascii="微軟正黑體" w:eastAsia="微軟正黑體" w:hint="eastAsia"/>
          <w:noProof/>
          <w:sz w:val="32"/>
          <w:szCs w:val="32"/>
        </w:rPr>
        <w:drawing>
          <wp:inline distT="0" distB="0" distL="0" distR="0">
            <wp:extent cx="6848475" cy="5419725"/>
            <wp:effectExtent l="0" t="0" r="0" b="0"/>
            <wp:docPr id="4" name="图片 4" descr="\\192.168.1.5\共用文件\給慧屏\dubai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7" cstate="print"/>
                    <a:srcRect t="2009" b="4017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541972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560"/>
        <w:gridCol w:w="2976"/>
        <w:gridCol w:w="2977"/>
        <w:gridCol w:w="3260"/>
      </w:tblGrid>
      <w:tr w:rsidR="00417EFF">
        <w:trPr>
          <w:trHeight w:val="850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417EFF">
            <w:pPr>
              <w:jc w:val="center"/>
              <w:rPr>
                <w:rFonts w:ascii="微軟正黑體" w:eastAsia="微軟正黑體"/>
              </w:rPr>
            </w:pP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航班編號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起飛/抵達城市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航班時間</w:t>
            </w:r>
          </w:p>
        </w:tc>
      </w:tr>
      <w:tr w:rsidR="00417EFF">
        <w:trPr>
          <w:trHeight w:val="625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第一天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32E81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FM 0820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32E81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 xml:space="preserve">TSA </w:t>
            </w:r>
            <w:r w:rsidR="00C4309D">
              <w:rPr>
                <w:rFonts w:ascii="微軟正黑體" w:eastAsia="微軟正黑體" w:hint="eastAsia"/>
              </w:rPr>
              <w:t>/ PVG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32E81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1340</w:t>
            </w:r>
            <w:r w:rsidR="00C4309D">
              <w:rPr>
                <w:rFonts w:ascii="微軟正黑體" w:eastAsia="微軟正黑體" w:hint="eastAsia"/>
              </w:rPr>
              <w:t xml:space="preserve"> / </w:t>
            </w:r>
            <w:r>
              <w:rPr>
                <w:rFonts w:ascii="微軟正黑體" w:eastAsia="微軟正黑體" w:hint="eastAsia"/>
              </w:rPr>
              <w:t>1525</w:t>
            </w:r>
          </w:p>
        </w:tc>
      </w:tr>
      <w:tr w:rsidR="00417EFF">
        <w:trPr>
          <w:trHeight w:val="517"/>
        </w:trPr>
        <w:tc>
          <w:tcPr>
            <w:tcW w:w="156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第二天</w:t>
            </w:r>
          </w:p>
        </w:tc>
        <w:tc>
          <w:tcPr>
            <w:tcW w:w="2976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MU0755</w:t>
            </w:r>
          </w:p>
        </w:tc>
        <w:tc>
          <w:tcPr>
            <w:tcW w:w="2977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PVG / DXB</w:t>
            </w:r>
          </w:p>
        </w:tc>
        <w:tc>
          <w:tcPr>
            <w:tcW w:w="3260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1110 / 1900</w:t>
            </w:r>
          </w:p>
        </w:tc>
      </w:tr>
      <w:tr w:rsidR="00417EFF">
        <w:trPr>
          <w:trHeight w:val="587"/>
        </w:trPr>
        <w:tc>
          <w:tcPr>
            <w:tcW w:w="15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第六天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MU0756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DXB / PVG</w:t>
            </w:r>
          </w:p>
        </w:tc>
        <w:tc>
          <w:tcPr>
            <w:tcW w:w="3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2030 / 1215+1</w:t>
            </w:r>
          </w:p>
        </w:tc>
      </w:tr>
      <w:tr w:rsidR="00417EFF">
        <w:trPr>
          <w:trHeight w:val="573"/>
        </w:trPr>
        <w:tc>
          <w:tcPr>
            <w:tcW w:w="1560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第七天</w:t>
            </w:r>
          </w:p>
        </w:tc>
        <w:tc>
          <w:tcPr>
            <w:tcW w:w="2976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MU5005</w:t>
            </w:r>
          </w:p>
        </w:tc>
        <w:tc>
          <w:tcPr>
            <w:tcW w:w="2977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PVG / TPE</w:t>
            </w:r>
          </w:p>
        </w:tc>
        <w:tc>
          <w:tcPr>
            <w:tcW w:w="3260" w:type="dxa"/>
            <w:shd w:val="clear" w:color="auto" w:fill="FBE7CB"/>
            <w:vAlign w:val="center"/>
          </w:tcPr>
          <w:p w:rsidR="00417EFF" w:rsidRDefault="00C4309D">
            <w:pPr>
              <w:jc w:val="center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1600 / 1740</w:t>
            </w:r>
          </w:p>
        </w:tc>
      </w:tr>
    </w:tbl>
    <w:p w:rsidR="00417EFF" w:rsidRDefault="00417EFF">
      <w:pPr>
        <w:ind w:right="480"/>
        <w:rPr>
          <w:rFonts w:ascii="微軟正黑體" w:eastAsia="微軟正黑體"/>
        </w:rPr>
      </w:pPr>
    </w:p>
    <w:p w:rsidR="00417EFF" w:rsidRDefault="00C4309D">
      <w:pPr>
        <w:ind w:right="480"/>
        <w:rPr>
          <w:rFonts w:ascii="微軟正黑體" w:eastAsia="微軟正黑體"/>
          <w:b/>
          <w:color w:val="FF0000"/>
        </w:rPr>
      </w:pPr>
      <w:r>
        <w:rPr>
          <w:rFonts w:ascii="微軟正黑體" w:eastAsia="微軟正黑體" w:hint="eastAsia"/>
          <w:b/>
          <w:color w:val="002060"/>
        </w:rPr>
        <w:t>行程加值加價購：</w:t>
      </w:r>
      <w:r>
        <w:rPr>
          <w:rFonts w:ascii="微軟正黑體" w:eastAsia="微軟正黑體" w:hint="eastAsia"/>
          <w:b/>
          <w:color w:val="FF0000"/>
        </w:rPr>
        <w:t>以下可個人選購，不需整團選購</w:t>
      </w:r>
    </w:p>
    <w:p w:rsidR="00417EFF" w:rsidRDefault="00C4309D">
      <w:pPr>
        <w:ind w:right="480"/>
        <w:rPr>
          <w:rFonts w:ascii="微軟正黑體" w:eastAsia="微軟正黑體"/>
          <w:b/>
          <w:color w:val="FF0000"/>
        </w:rPr>
      </w:pPr>
      <w:r>
        <w:rPr>
          <w:rFonts w:ascii="微軟正黑體" w:eastAsia="微軟正黑體" w:hint="eastAsia"/>
          <w:b/>
          <w:color w:val="FF0000"/>
        </w:rPr>
        <w:t>1.哈里發塔當地自費價NT.2600，台北包含NT.2000</w:t>
      </w:r>
    </w:p>
    <w:p w:rsidR="00417EFF" w:rsidRDefault="00C4309D">
      <w:pPr>
        <w:ind w:right="480"/>
        <w:rPr>
          <w:rFonts w:ascii="微軟正黑體" w:eastAsia="微軟正黑體"/>
          <w:b/>
          <w:color w:val="FF0000"/>
        </w:rPr>
      </w:pPr>
      <w:r>
        <w:rPr>
          <w:rFonts w:ascii="微軟正黑體" w:eastAsia="微軟正黑體" w:hint="eastAsia"/>
          <w:b/>
          <w:color w:val="FF0000"/>
        </w:rPr>
        <w:t>2.七星帆船自助海鮮餐當地自費NT.6200，台北包含NT.5500</w:t>
      </w:r>
    </w:p>
    <w:p w:rsidR="00417EFF" w:rsidRPr="00C4309D" w:rsidRDefault="00C4309D">
      <w:pPr>
        <w:ind w:right="480"/>
        <w:rPr>
          <w:rFonts w:ascii="微軟正黑體" w:eastAsia="微軟正黑體"/>
          <w:b/>
          <w:color w:val="FF0000"/>
        </w:rPr>
      </w:pPr>
      <w:r>
        <w:rPr>
          <w:rFonts w:ascii="微軟正黑體" w:eastAsia="微軟正黑體" w:hint="eastAsia"/>
          <w:b/>
          <w:color w:val="FF0000"/>
        </w:rPr>
        <w:t>3.亞特蘭提斯自助餐當地自費NT.3400，台北包含NT.2800</w:t>
      </w:r>
    </w:p>
    <w:p w:rsidR="00417EFF" w:rsidRDefault="00C4309D">
      <w:pPr>
        <w:ind w:right="480"/>
        <w:jc w:val="right"/>
        <w:rPr>
          <w:rFonts w:ascii="微軟正黑體" w:eastAsia="微軟正黑體"/>
          <w:sz w:val="32"/>
          <w:szCs w:val="32"/>
        </w:rPr>
      </w:pPr>
      <w:r>
        <w:rPr>
          <w:rFonts w:ascii="微軟正黑體" w:eastAsia="微軟正黑體" w:hint="eastAsia"/>
        </w:rPr>
        <w:t>符號表示：★表示含門票 ◎表示下車參觀</w:t>
      </w: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8222"/>
        <w:gridCol w:w="2551"/>
      </w:tblGrid>
      <w:tr w:rsidR="00417EFF">
        <w:trPr>
          <w:trHeight w:val="567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第一天 台北松山 / 上海</w:t>
            </w:r>
            <w:r w:rsidR="00B768C6">
              <w:rPr>
                <w:rFonts w:ascii="微軟正黑體" w:eastAsia="微軟正黑體" w:hint="eastAsia"/>
              </w:rPr>
              <w:t xml:space="preserve"> FM820 TSAPVG 1340</w:t>
            </w:r>
            <w:r>
              <w:rPr>
                <w:rFonts w:ascii="微軟正黑體" w:eastAsia="微軟正黑體" w:hint="eastAsia"/>
              </w:rPr>
              <w:t>/</w:t>
            </w:r>
            <w:r w:rsidR="00B768C6">
              <w:rPr>
                <w:rFonts w:ascii="微軟正黑體" w:eastAsia="微軟正黑體" w:hint="eastAsia"/>
              </w:rPr>
              <w:t>1525</w:t>
            </w:r>
          </w:p>
        </w:tc>
      </w:tr>
      <w:tr w:rsidR="00417EFF">
        <w:trPr>
          <w:trHeight w:val="2094"/>
        </w:trPr>
        <w:tc>
          <w:tcPr>
            <w:tcW w:w="8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5F7255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cstheme="minorBidi" w:hint="eastAsia"/>
                <w:color w:val="000000"/>
              </w:rPr>
              <w:t>今日於機場集合後，搭機飛往上海，抵達後特別安排上海市區觀光，帶您走訪外灘、南京路…等，感受上海現代與古典的融合文化；晚上入住酒店，充足的休息後，準備迎接明日的杜拜之旅。</w:t>
            </w:r>
          </w:p>
          <w:p w:rsidR="005F7255" w:rsidRDefault="005F7255">
            <w:pPr>
              <w:spacing w:line="420" w:lineRule="exact"/>
              <w:jc w:val="both"/>
              <w:rPr>
                <w:rFonts w:ascii="微軟正黑體" w:eastAsia="微軟正黑體"/>
              </w:rPr>
            </w:pP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/>
                <w:noProof/>
              </w:rPr>
              <w:drawing>
                <wp:anchor distT="0" distB="0" distL="114300" distR="114300" simplePos="0" relativeHeight="22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98425</wp:posOffset>
                  </wp:positionV>
                  <wp:extent cx="1458595" cy="1133475"/>
                  <wp:effectExtent l="0" t="0" r="0" b="0"/>
                  <wp:wrapSquare wrapText="bothSides"/>
                  <wp:docPr id="7" name="图片 7" descr="d:\user file\Desktop\IVEN\科威圖檔\杜拜圖檔\上海外灘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595" cy="11334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7EFF">
        <w:trPr>
          <w:trHeight w:val="567"/>
        </w:trPr>
        <w:tc>
          <w:tcPr>
            <w:tcW w:w="10773" w:type="dxa"/>
            <w:gridSpan w:val="2"/>
            <w:shd w:val="clear" w:color="auto" w:fill="FBE7CB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餐食：早餐-X  中餐-X  晚餐-</w:t>
            </w:r>
            <w:r w:rsidR="00DA5EC8">
              <w:rPr>
                <w:rFonts w:ascii="微軟正黑體" w:eastAsia="微軟正黑體" w:hint="eastAsia"/>
              </w:rPr>
              <w:t>發餐費50RMB</w:t>
            </w:r>
          </w:p>
        </w:tc>
      </w:tr>
      <w:tr w:rsidR="00417EFF">
        <w:trPr>
          <w:trHeight w:val="567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住宿：STPC過境旅館 或 同級</w:t>
            </w:r>
          </w:p>
        </w:tc>
      </w:tr>
    </w:tbl>
    <w:p w:rsidR="00417EFF" w:rsidRDefault="00417EFF">
      <w:pPr>
        <w:spacing w:line="420" w:lineRule="exact"/>
        <w:rPr>
          <w:rFonts w:ascii="微軟正黑體" w:eastAsia="微軟正黑體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8222"/>
        <w:gridCol w:w="2551"/>
      </w:tblGrid>
      <w:tr w:rsidR="00417EFF">
        <w:trPr>
          <w:trHeight w:val="567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第二天 上海 / 杜拜 MU755 PVGDXB 1110/1915</w:t>
            </w:r>
          </w:p>
        </w:tc>
      </w:tr>
      <w:tr w:rsidR="00417EFF">
        <w:trPr>
          <w:trHeight w:val="1967"/>
        </w:trPr>
        <w:tc>
          <w:tcPr>
            <w:tcW w:w="82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搭乘豪華客機由上海經停昆明隨後前往阿拉伯聯合大公國，簡稱「阿聯酋」的第二大城，有商貿之城美譽的杜拜。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/>
                <w:noProof/>
              </w:rPr>
              <w:drawing>
                <wp:anchor distT="0" distB="0" distL="114300" distR="114300" simplePos="0" relativeHeight="23" behindDoc="0" locked="0" layoutInCell="1" allowOverlap="1">
                  <wp:simplePos x="0" y="0"/>
                  <wp:positionH relativeFrom="column">
                    <wp:posOffset>15874</wp:posOffset>
                  </wp:positionH>
                  <wp:positionV relativeFrom="paragraph">
                    <wp:posOffset>-1092835</wp:posOffset>
                  </wp:positionV>
                  <wp:extent cx="1449070" cy="1126490"/>
                  <wp:effectExtent l="0" t="0" r="0" b="0"/>
                  <wp:wrapSquare wrapText="bothSides"/>
                  <wp:docPr id="10" name="图片 10" descr="d:\user file\Desktop\IVEN\科威圖檔\杜拜圖檔\帆船酒店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1264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7EFF">
        <w:trPr>
          <w:trHeight w:val="567"/>
        </w:trPr>
        <w:tc>
          <w:tcPr>
            <w:tcW w:w="10773" w:type="dxa"/>
            <w:gridSpan w:val="2"/>
            <w:shd w:val="clear" w:color="auto" w:fill="FBE7CB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餐食：早餐-飯店享用  中餐-機上套餐  晚餐-機上套餐</w:t>
            </w:r>
          </w:p>
        </w:tc>
      </w:tr>
      <w:tr w:rsidR="00417EFF">
        <w:trPr>
          <w:trHeight w:val="567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spacing w:line="4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住宿：4★</w:t>
            </w:r>
            <w:r>
              <w:rPr>
                <w:rFonts w:ascii="微軟正黑體" w:eastAsia="微軟正黑體" w:hint="eastAsia"/>
                <w:kern w:val="0"/>
              </w:rPr>
              <w:t>Al Jawhara Gardens Hotel 或 Emirates Grand Hotel Apartments 或同級</w:t>
            </w:r>
          </w:p>
        </w:tc>
      </w:tr>
    </w:tbl>
    <w:p w:rsidR="00417EFF" w:rsidRDefault="00417EFF">
      <w:pPr>
        <w:spacing w:line="400" w:lineRule="exact"/>
        <w:rPr>
          <w:rFonts w:ascii="微軟正黑體" w:eastAsia="微軟正黑體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773"/>
      </w:tblGrid>
      <w:tr w:rsidR="00417EFF">
        <w:trPr>
          <w:trHeight w:val="56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第三天 杜拜 - 阿布達比市區觀光(海濱大道 - 文化廣場 - 阿聯酋傳統民俗村 - 大清真寺) - 阿酋皇宮飯店 - 杜拜</w:t>
            </w:r>
          </w:p>
        </w:tc>
      </w:tr>
      <w:tr w:rsidR="00417EFF">
        <w:trPr>
          <w:trHeight w:val="7429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◎【海濱大道】</w:t>
            </w:r>
            <w:r>
              <w:rPr>
                <w:rFonts w:ascii="微軟正黑體" w:eastAsia="微軟正黑體" w:hint="eastAsia"/>
              </w:rPr>
              <w:t>一條圍繞著阿布達比海岸線而建造得林蔭大道，大道上有公共設施、花園、綠地、精美的建築等，成為了人們散步的好去處。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◎【文化廣場</w:t>
            </w:r>
            <w:r>
              <w:rPr>
                <w:rFonts w:ascii="微軟正黑體" w:eastAsia="微軟正黑體"/>
                <w:color w:val="0000FF"/>
              </w:rPr>
              <w:t>Culture Square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此處放置六個石膏打造的巨大模型，分別是大砲、老城堡、阿拉伯壺、香水瓶、薰香爐及菜罩，是阿布達比的著名地標，讓到訪的遊客行經市區時，就能看到當地人民的生活面。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★【阿聯酋傳統民俗村Heritage Village】</w:t>
            </w:r>
            <w:r>
              <w:rPr>
                <w:rFonts w:ascii="微軟正黑體" w:eastAsia="微軟正黑體" w:hint="eastAsia"/>
              </w:rPr>
              <w:t>是一處被設計為生活博物館的場所，遊客可以通過遊覽這裡，來瞭解這個國家的過去。這裡展示的是貝多因人Bedouin的傳統文化和傳統生活方式，涉及農業、漁業、貿易等諸多方面。一間間的茅草屋，有的商販販賣著一些特色小工藝品，有的擺放了一些舊時使用的器皿和生活工具；民俗村後面的海灘很白很細膩，海水綠得發亮，不時有年輕人駕駛海上摩托車滑過，給眼前畫面添上了動感的色彩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noProof/>
                <w:color w:val="0000FF"/>
              </w:rPr>
              <w:drawing>
                <wp:anchor distT="0" distB="0" distL="114300" distR="114300" simplePos="0" relativeHeight="24" behindDoc="0" locked="0" layoutInCell="1" allowOverlap="1">
                  <wp:simplePos x="0" y="0"/>
                  <wp:positionH relativeFrom="column">
                    <wp:posOffset>4992370</wp:posOffset>
                  </wp:positionH>
                  <wp:positionV relativeFrom="paragraph">
                    <wp:posOffset>659130</wp:posOffset>
                  </wp:positionV>
                  <wp:extent cx="1633855" cy="1266825"/>
                  <wp:effectExtent l="0" t="0" r="0" b="0"/>
                  <wp:wrapSquare wrapText="bothSides"/>
                  <wp:docPr id="13" name="图片 13" descr="d:\user file\Desktop\IVEN\科威圖檔\杜拜圖檔\大清真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855" cy="12668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int="eastAsia"/>
                <w:color w:val="0000FF"/>
              </w:rPr>
              <w:t>★【大清真寺Sheikh Zayed Mosque】</w:t>
            </w:r>
            <w:r>
              <w:rPr>
                <w:rFonts w:ascii="微軟正黑體" w:eastAsia="微軟正黑體" w:hint="eastAsia"/>
              </w:rPr>
              <w:t>以該國首任總統來命名的清真寺，共有82個圓頂，四座高</w:t>
            </w:r>
            <w:r>
              <w:rPr>
                <w:rFonts w:ascii="微軟正黑體" w:eastAsia="微軟正黑體"/>
              </w:rPr>
              <w:t>107</w:t>
            </w:r>
            <w:r>
              <w:rPr>
                <w:rFonts w:ascii="微軟正黑體" w:eastAsia="微軟正黑體" w:hint="eastAsia"/>
              </w:rPr>
              <w:t>公尺的宣禮塔，可同時容納四萬人；純白色的建築外觀宏偉不凡，殿內有張被譽為全球最大的手織波斯地毯，廣達五千七百平方米，由千名伊朗婦女花費</w:t>
            </w:r>
            <w:r>
              <w:rPr>
                <w:rFonts w:ascii="微軟正黑體" w:eastAsia="微軟正黑體"/>
              </w:rPr>
              <w:t>2</w:t>
            </w:r>
            <w:r>
              <w:rPr>
                <w:rFonts w:ascii="微軟正黑體" w:eastAsia="微軟正黑體" w:hint="eastAsia"/>
              </w:rPr>
              <w:t>年時間以手工編織而成，無以倫比的人文與工藝造就了大清真寺的富麗堂皇。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◎【阿酋皇宮飯店</w:t>
            </w:r>
            <w:r>
              <w:rPr>
                <w:rFonts w:ascii="微軟正黑體" w:eastAsia="微軟正黑體"/>
                <w:color w:val="0000FF"/>
              </w:rPr>
              <w:t>Emirates Palace Hotel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濱臨美麗的阿拉伯灣，造型如同座豪華宮殿，處處金碧輝煌的，走到哪都佈滿著富麗堂皇的裝飾，極盡奢華之能。</w:t>
            </w:r>
          </w:p>
        </w:tc>
      </w:tr>
      <w:tr w:rsidR="00417EFF">
        <w:trPr>
          <w:trHeight w:val="567"/>
        </w:trPr>
        <w:tc>
          <w:tcPr>
            <w:tcW w:w="10773" w:type="dxa"/>
            <w:shd w:val="clear" w:color="auto" w:fill="FBE7CB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餐食：早餐-飯店享用  中餐-阿拉伯特色餐  晚餐-中式料理</w:t>
            </w:r>
          </w:p>
        </w:tc>
      </w:tr>
      <w:tr w:rsidR="00417EFF">
        <w:trPr>
          <w:trHeight w:val="56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住宿：4★</w:t>
            </w:r>
            <w:r>
              <w:rPr>
                <w:rFonts w:ascii="微軟正黑體" w:eastAsia="微軟正黑體" w:hint="eastAsia"/>
                <w:kern w:val="0"/>
              </w:rPr>
              <w:t>Al Jawhara Gardens Hotel 或 Emirates Grand Hotel Apartments 或同級</w:t>
            </w:r>
          </w:p>
        </w:tc>
      </w:tr>
    </w:tbl>
    <w:p w:rsidR="00417EFF" w:rsidRDefault="00417EFF">
      <w:pPr>
        <w:spacing w:line="120" w:lineRule="exact"/>
        <w:rPr>
          <w:rFonts w:ascii="微軟正黑體" w:eastAsia="微軟正黑體"/>
          <w:szCs w:val="24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773"/>
      </w:tblGrid>
      <w:tr w:rsidR="00417EFF">
        <w:trPr>
          <w:trHeight w:val="56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第四天 自由活动 - 沙漠衝沙 - 阿拉伯之夜</w:t>
            </w:r>
          </w:p>
        </w:tc>
      </w:tr>
      <w:tr w:rsidR="00417EFF">
        <w:trPr>
          <w:trHeight w:val="56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noProof/>
                <w:color w:val="0000FF"/>
              </w:rPr>
              <w:drawing>
                <wp:anchor distT="0" distB="0" distL="114300" distR="114300" simplePos="0" relativeHeight="25" behindDoc="0" locked="0" layoutInCell="1" allowOverlap="1">
                  <wp:simplePos x="0" y="0"/>
                  <wp:positionH relativeFrom="column">
                    <wp:posOffset>4997450</wp:posOffset>
                  </wp:positionH>
                  <wp:positionV relativeFrom="paragraph">
                    <wp:posOffset>530859</wp:posOffset>
                  </wp:positionV>
                  <wp:extent cx="1619249" cy="1247775"/>
                  <wp:effectExtent l="0" t="0" r="0" b="0"/>
                  <wp:wrapSquare wrapText="bothSides"/>
                  <wp:docPr id="16" name="图片 16" descr="d:\user file\Desktop\IVEN\科威圖檔\杜拜圖檔\沙漠衝沙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49" cy="124777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int="eastAsia"/>
                <w:color w:val="0000FF"/>
              </w:rPr>
              <w:t>★【沙漠衝沙</w:t>
            </w:r>
            <w:r>
              <w:rPr>
                <w:rFonts w:ascii="微軟正黑體" w:eastAsia="微軟正黑體"/>
                <w:color w:val="0000FF"/>
              </w:rPr>
              <w:t>Desert Safari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在一望無際的沙漠中，專業司機駕駛四驅車於沙漠中奔馳著，在坡度落差高達一、兩層樓達的沙丘中，俯衝、甩尾、滑行，在尖叫、歡呼聲之中體驗這刺激又過癮的活動。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★【阿拉伯之夜】</w:t>
            </w:r>
            <w:r>
              <w:rPr>
                <w:rFonts w:ascii="微軟正黑體" w:eastAsia="微軟正黑體" w:hint="eastAsia"/>
              </w:rPr>
              <w:t>在仿遊牧民族貝多因部落營地裡，可以騎駱駝在沙漠中漫步、嘗試阿拉伯水煙、穿上阿拉伯傳統服飾、或彩繪個阿拉伯婦女喜愛的圖騰，感受著中東的特殊風情；晚餐安排道地的阿拉伯式燒烤、沙拉、甜品、飲料等，用餐時伴隨著傳統舞蹈表演、邊聆聽美妙的阿拉伯音樂，盡情的享受這美好的阿拉伯之夜。</w:t>
            </w:r>
          </w:p>
        </w:tc>
      </w:tr>
      <w:tr w:rsidR="00417EFF">
        <w:trPr>
          <w:trHeight w:val="567"/>
        </w:trPr>
        <w:tc>
          <w:tcPr>
            <w:tcW w:w="10773" w:type="dxa"/>
            <w:shd w:val="clear" w:color="auto" w:fill="FBE7CB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餐食：早餐-飯店享用  中餐-自理  晚餐-沙漠燒烤餐</w:t>
            </w:r>
          </w:p>
        </w:tc>
      </w:tr>
      <w:tr w:rsidR="00417EFF">
        <w:trPr>
          <w:trHeight w:val="56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lastRenderedPageBreak/>
              <w:t>住宿：4★</w:t>
            </w:r>
            <w:r>
              <w:rPr>
                <w:rFonts w:ascii="微軟正黑體" w:eastAsia="微軟正黑體" w:hint="eastAsia"/>
                <w:kern w:val="0"/>
              </w:rPr>
              <w:t>Al Jawhara Gardens Hotel 或 Emirates Grand Hotel Apartments 或同級</w:t>
            </w:r>
          </w:p>
        </w:tc>
      </w:tr>
    </w:tbl>
    <w:p w:rsidR="00417EFF" w:rsidRDefault="00417EFF">
      <w:pPr>
        <w:rPr>
          <w:rFonts w:ascii="微軟正黑體" w:eastAsia="微軟正黑體"/>
          <w:sz w:val="2"/>
          <w:szCs w:val="2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773"/>
      </w:tblGrid>
      <w:tr w:rsidR="00417EFF">
        <w:trPr>
          <w:trHeight w:val="110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 xml:space="preserve">第五天 朱美拉清真寺 - 黃金市集 - 香料市集 - 杜拜博物館 - 水上計程車 - 阿聯酋購物中心 </w:t>
            </w:r>
            <w:r>
              <w:rPr>
                <w:rFonts w:ascii="微軟正黑體" w:eastAsia="微軟正黑體"/>
              </w:rPr>
              <w:t>–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 xml:space="preserve">       七星帆船飯店 - 運河飯店市集</w:t>
            </w:r>
          </w:p>
        </w:tc>
      </w:tr>
      <w:tr w:rsidR="00417EFF">
        <w:trPr>
          <w:trHeight w:val="10575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spacing w:line="460" w:lineRule="exact"/>
              <w:jc w:val="both"/>
              <w:rPr>
                <w:rFonts w:ascii="新細明體" w:cs="新細明體"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color w:val="0000FF"/>
              </w:rPr>
              <w:t>◎【朱美拉清真寺J</w:t>
            </w:r>
            <w:r>
              <w:rPr>
                <w:rFonts w:ascii="微軟正黑體" w:eastAsia="微軟正黑體"/>
                <w:color w:val="0000FF"/>
              </w:rPr>
              <w:t>umeirah</w:t>
            </w:r>
            <w:r>
              <w:rPr>
                <w:rFonts w:ascii="微軟正黑體" w:eastAsia="微軟正黑體"/>
                <w:color w:val="0000FF"/>
              </w:rPr>
              <w:t> </w:t>
            </w:r>
            <w:r>
              <w:rPr>
                <w:rFonts w:ascii="微軟正黑體" w:eastAsia="微軟正黑體" w:hint="eastAsia"/>
                <w:color w:val="0000FF"/>
              </w:rPr>
              <w:t>M</w:t>
            </w:r>
            <w:r>
              <w:rPr>
                <w:rFonts w:ascii="微軟正黑體" w:eastAsia="微軟正黑體"/>
                <w:color w:val="0000FF"/>
              </w:rPr>
              <w:t>osque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於1978年竣工，不僅是杜拜最重要的伊斯蘭教祈禱場所，也是當地的著名地理標誌之一。依照中世紀「法蒂瑪王朝」的建築傳統而造的朱美拉清真寺，堪稱現代伊斯蘭建築的輝煌典範，它的特別之處在於，整個清真寺全是由石塊造成，沒有一塊磚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◎【黃金市集</w:t>
            </w:r>
            <w:r>
              <w:rPr>
                <w:rFonts w:ascii="微軟正黑體" w:eastAsia="微軟正黑體"/>
                <w:color w:val="0000FF"/>
              </w:rPr>
              <w:t>GoldSouk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世界最大的零售黃金市集，店面遍佈幾條街，款式多得眼花繚亂。每家店的櫥窗掛滿了琳瑯滿目、閃耀奪目的黃金藝品，吸引客人上門，有些店家甚至還打造出大金條、金縷衣，讓人嘆為觀止。而這邊的黃金以18K和22K的黃金為主，光澤度和在台灣看到的會有些不同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◎【香料市集</w:t>
            </w:r>
            <w:r>
              <w:rPr>
                <w:rFonts w:ascii="微軟正黑體" w:eastAsia="微軟正黑體"/>
                <w:color w:val="0000FF"/>
              </w:rPr>
              <w:t>Spice Souk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中東地區的人向來擅長使用香料，不僅應用在食物料理中，也活用在裝飾、薰香和水煙草上；這裡到處瀰漫著一股濃郁的復古氣氛，茴香、番紅花、荳蔻、肉桂、薰香、乾果等色彩豐富的香料，被一袋袋的敞開著放在店門口，滿溢的色彩與香味流串在人潮之中，更顯迷人萬分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★【杜拜博物館</w:t>
            </w:r>
            <w:r>
              <w:rPr>
                <w:rFonts w:ascii="微軟正黑體" w:eastAsia="微軟正黑體"/>
                <w:color w:val="0000FF"/>
              </w:rPr>
              <w:t>Dubai Museum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是迄今杜拜現存最古老的遺址，除了做為防禦外敵之用，在不同時期還做為酋長的居所、宮殿、軍火庫；博物館介紹了包括各種傳統生活用品展示，由古代阿拉伯商人運用泥土建造而成的風塔大泥屋、船隻、服裝等，涵蓋貝多因遊牧民族的沙漠歲月、海洋時代和經貿年代，以及現在、未來的建設與展望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★【水上計程車</w:t>
            </w:r>
            <w:r>
              <w:rPr>
                <w:rFonts w:ascii="微軟正黑體" w:eastAsia="微軟正黑體"/>
                <w:color w:val="0000FF"/>
              </w:rPr>
              <w:t>Abra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乘坐當地傳統的木製渡輪，體驗被當地人稱為「阿巴拉」的水上交通工具，從海上遠距離欣賞杜拜市區，更加深認識與欣賞這絢爛多變的城市。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◎【阿聯酋購物中心Mall of the Emirates】</w:t>
            </w:r>
            <w:r>
              <w:rPr>
                <w:rFonts w:ascii="微軟正黑體" w:eastAsia="微軟正黑體" w:hint="eastAsia"/>
              </w:rPr>
              <w:t>中東地區最頂級的國際名牌精品購物商城，有73個足球場般大，商店超過350家，有14家電影院、65間的風味餐廳和咖啡館、Kempinski酒店。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◎【七星帆船飯店</w:t>
            </w:r>
            <w:r>
              <w:rPr>
                <w:rFonts w:ascii="微軟正黑體" w:eastAsia="微軟正黑體"/>
                <w:color w:val="0000FF"/>
              </w:rPr>
              <w:t>Burj Al Arab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全世界最奢華的旅館之一，因為太過豪華而破例稱為七星級，其如雷貫耳的名號，打響了杜拜這座城市。建築外觀猶如一艘銀白色的阿拉伯式帆船，昂然聳立在距離海灘280公尺的人工島嶼上，彷彿準備揚帆啟航。每位旅客走進飯店的那瞬間，無不被它挑高180公尺的大廳、精彩的水舞噴泉及金碧輝煌的裝潢所吸引，飯店裡主要是以金、紅、藍三色為主，完美地呈現出阿拉伯風情。</w:t>
            </w:r>
          </w:p>
          <w:p w:rsidR="00417EFF" w:rsidRDefault="00C4309D">
            <w:pPr>
              <w:spacing w:line="46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noProof/>
                <w:color w:val="0000FF"/>
              </w:rPr>
              <w:drawing>
                <wp:anchor distT="0" distB="0" distL="114300" distR="114300" simplePos="0" relativeHeight="20" behindDoc="0" locked="0" layoutInCell="1" allowOverlap="1">
                  <wp:simplePos x="0" y="0"/>
                  <wp:positionH relativeFrom="column">
                    <wp:posOffset>4991100</wp:posOffset>
                  </wp:positionH>
                  <wp:positionV relativeFrom="paragraph">
                    <wp:posOffset>-516890</wp:posOffset>
                  </wp:positionV>
                  <wp:extent cx="1628775" cy="1266825"/>
                  <wp:effectExtent l="0" t="0" r="0" b="0"/>
                  <wp:wrapSquare wrapText="bothSides"/>
                  <wp:docPr id="19" name="图片 19" descr="d:\user file\Desktop\IVEN\科威圖檔\杜拜圖檔\朱美拉清真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2668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int="eastAsia"/>
                <w:color w:val="0000FF"/>
              </w:rPr>
              <w:t>◎【運河飯店市集Souk Madinat】</w:t>
            </w:r>
            <w:r>
              <w:rPr>
                <w:rFonts w:ascii="微軟正黑體" w:eastAsia="微軟正黑體" w:hint="eastAsia"/>
              </w:rPr>
              <w:t>仿傳統露天市集，阿拉伯宮殿式建築，新穎的商店街一開幕即成為熱門旅遊勝地，此市集總是生氣蓬勃，貨品包羅萬象應有盡有，也可於此欣賞各式各樣的表演。</w:t>
            </w:r>
          </w:p>
        </w:tc>
      </w:tr>
      <w:tr w:rsidR="00417EFF">
        <w:trPr>
          <w:trHeight w:val="693"/>
        </w:trPr>
        <w:tc>
          <w:tcPr>
            <w:tcW w:w="10773" w:type="dxa"/>
            <w:shd w:val="clear" w:color="auto" w:fill="FBE7CB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餐食：早餐-飯店享用  中餐-中式料理  晚餐-中式料理</w:t>
            </w:r>
          </w:p>
        </w:tc>
      </w:tr>
      <w:tr w:rsidR="00417EFF">
        <w:trPr>
          <w:trHeight w:val="671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lastRenderedPageBreak/>
              <w:t>住宿：4★</w:t>
            </w:r>
            <w:r>
              <w:rPr>
                <w:rFonts w:ascii="微軟正黑體" w:eastAsia="微軟正黑體" w:hint="eastAsia"/>
                <w:kern w:val="0"/>
              </w:rPr>
              <w:t>Al Jawhara Gardens Hotel 或 Emirates Grand Hotel Apartments 或同級</w:t>
            </w:r>
          </w:p>
        </w:tc>
      </w:tr>
    </w:tbl>
    <w:p w:rsidR="00417EFF" w:rsidRDefault="00417EFF">
      <w:pPr>
        <w:rPr>
          <w:rFonts w:ascii="微軟正黑體" w:eastAsia="微軟正黑體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10773"/>
      </w:tblGrid>
      <w:tr w:rsidR="00417EFF">
        <w:trPr>
          <w:trHeight w:val="437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第六天 亞特蘭提斯 - 棕櫚島輕軌電車 - 杜拜購物中心 - 杜拜噴泉 - 哈里發塔 / 上海</w:t>
            </w:r>
          </w:p>
          <w:p w:rsidR="00417EFF" w:rsidRDefault="00C4309D">
            <w:pPr>
              <w:ind w:firstLineChars="350" w:firstLine="840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MU756 DXBPVG 2030/1215+1</w:t>
            </w:r>
          </w:p>
        </w:tc>
      </w:tr>
      <w:tr w:rsidR="00417EFF">
        <w:trPr>
          <w:trHeight w:val="7315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◎【亞特蘭提斯</w:t>
            </w:r>
            <w:r>
              <w:rPr>
                <w:rFonts w:ascii="微軟正黑體" w:eastAsia="微軟正黑體"/>
                <w:color w:val="0000FF"/>
              </w:rPr>
              <w:t>Atlantis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耗資15億歐元，以傳說中失落的海底古城「亞特蘭提斯」為藍本打造，座落在朱美拉棕櫚島外環中央最頂端的位置，象徵它無法取代的皇冠地位。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★【棕櫚島輕軌電車】</w:t>
            </w:r>
            <w:r>
              <w:rPr>
                <w:rFonts w:ascii="微軟正黑體" w:eastAsia="微軟正黑體" w:hint="eastAsia"/>
              </w:rPr>
              <w:t>棕櫚島號稱為「世界第八大奇蹟」的人工島嶼，以棕櫚樹的造型呈現，島上有許多的娛樂休閒設施和私人住宅；貼心安排搭乘輕軌電車，電車於</w:t>
            </w:r>
            <w:r>
              <w:rPr>
                <w:rFonts w:ascii="微軟正黑體" w:eastAsia="微軟正黑體"/>
              </w:rPr>
              <w:t>2009</w:t>
            </w:r>
            <w:r>
              <w:rPr>
                <w:rFonts w:ascii="微軟正黑體" w:eastAsia="微軟正黑體" w:hint="eastAsia"/>
              </w:rPr>
              <w:t>年正式通車，為中東地區第一條通車的單軌鐵路，沿途可欣賞到棕櫚島的特殊建設及美輪美奐的住宅區，並鳥瞰亞特蘭提斯飯店。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◎【杜拜購物中心</w:t>
            </w:r>
            <w:r>
              <w:rPr>
                <w:rFonts w:ascii="微軟正黑體" w:eastAsia="微軟正黑體"/>
                <w:color w:val="0000FF"/>
              </w:rPr>
              <w:t>Dubai Mall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位於世界最高的杜拜塔旁，為世界總面積最大的購物中心和娛樂中心；樓高四層，聚集了超過1000家以上不同等級的品牌商店、餐廳和美食街；還擁有一座32.8公尺寬、8.3公尺高，可容納10萬公升的水，號稱全世界最大的室內水族館，水族館裡頭飼養了33000多隻不同的海底生物，其中還有400隻鯊魚和魟魚；客人只要通過270度的海底隧道，便可觀賞到美麗的海底世界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noProof/>
                <w:color w:val="0000FF"/>
              </w:rPr>
              <w:drawing>
                <wp:anchor distT="0" distB="0" distL="114300" distR="114300" simplePos="0" relativeHeight="21" behindDoc="0" locked="0" layoutInCell="1" allowOverlap="1">
                  <wp:simplePos x="0" y="0"/>
                  <wp:positionH relativeFrom="column">
                    <wp:posOffset>5038725</wp:posOffset>
                  </wp:positionH>
                  <wp:positionV relativeFrom="paragraph">
                    <wp:posOffset>607695</wp:posOffset>
                  </wp:positionV>
                  <wp:extent cx="1581150" cy="1228725"/>
                  <wp:effectExtent l="0" t="0" r="0" b="0"/>
                  <wp:wrapSquare wrapText="bothSides"/>
                  <wp:docPr id="22" name="图片 22" descr="d:\user file\Desktop\IVEN\科威圖檔\杜拜圖檔\哈里發塔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/>
                        </pic:nvPicPr>
                        <pic:blipFill>
                          <a:blip r:embed="rId13" cstate="print">
                            <a:lum contrast="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22872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軟正黑體" w:eastAsia="微軟正黑體" w:hint="eastAsia"/>
                <w:color w:val="0000FF"/>
              </w:rPr>
              <w:t>◎【杜拜噴泉</w:t>
            </w:r>
            <w:r>
              <w:rPr>
                <w:rFonts w:ascii="微軟正黑體" w:eastAsia="微軟正黑體"/>
                <w:color w:val="0000FF"/>
              </w:rPr>
              <w:t>Dubai Fountain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目前為世界上最大的音樂噴泉，每隔半小時就有一場表演，配有6600多盞彩色燈光以及25個彩色投影機，伴隨著優美的阿拉伯音樂，全部的水柱都一起舞蹈，而音樂噴泉的水柱，最高可達約50層樓高，創下新的世界記錄；如果逛累了最大的購物中心，也可端杯咖啡坐在臺階上，盡情享受音樂噴泉帶來的震撼。</w:t>
            </w:r>
          </w:p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color w:val="0000FF"/>
              </w:rPr>
              <w:t>◎【哈里發塔</w:t>
            </w:r>
            <w:r>
              <w:rPr>
                <w:rFonts w:ascii="微軟正黑體" w:eastAsia="微軟正黑體"/>
                <w:color w:val="0000FF"/>
              </w:rPr>
              <w:t>BurjKhalifa</w:t>
            </w:r>
            <w:r>
              <w:rPr>
                <w:rFonts w:ascii="微軟正黑體" w:eastAsia="微軟正黑體" w:hint="eastAsia"/>
                <w:color w:val="0000FF"/>
              </w:rPr>
              <w:t>】</w:t>
            </w:r>
            <w:r>
              <w:rPr>
                <w:rFonts w:ascii="微軟正黑體" w:eastAsia="微軟正黑體" w:hint="eastAsia"/>
              </w:rPr>
              <w:t>原稱為杜拜塔，哈里發在古阿拉伯世界中為「伊斯蘭帝國領袖」之意，2010年1月4日正式完工啟用；高度828公尺，樓層總數為169層樓，比台北101高了319公尺，是目前世界第一高塔。</w:t>
            </w:r>
          </w:p>
        </w:tc>
      </w:tr>
      <w:tr w:rsidR="00417EFF">
        <w:trPr>
          <w:trHeight w:val="437"/>
        </w:trPr>
        <w:tc>
          <w:tcPr>
            <w:tcW w:w="10773" w:type="dxa"/>
            <w:shd w:val="clear" w:color="auto" w:fill="FBE7CB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餐食：早餐-飯店享用  中餐-中式料理  晚餐-中式料理</w:t>
            </w:r>
          </w:p>
        </w:tc>
      </w:tr>
      <w:tr w:rsidR="00417EFF">
        <w:trPr>
          <w:trHeight w:val="452"/>
        </w:trPr>
        <w:tc>
          <w:tcPr>
            <w:tcW w:w="107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住宿：機上</w:t>
            </w:r>
          </w:p>
        </w:tc>
      </w:tr>
    </w:tbl>
    <w:p w:rsidR="00417EFF" w:rsidRDefault="00417EFF">
      <w:pPr>
        <w:rPr>
          <w:rFonts w:ascii="微軟正黑體" w:eastAsia="微軟正黑體"/>
        </w:rPr>
      </w:pPr>
    </w:p>
    <w:tbl>
      <w:tblPr>
        <w:tblW w:w="0" w:type="auto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00"/>
      </w:tblPr>
      <w:tblGrid>
        <w:gridCol w:w="7797"/>
        <w:gridCol w:w="2976"/>
      </w:tblGrid>
      <w:tr w:rsidR="00417EFF">
        <w:trPr>
          <w:trHeight w:val="447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0A22E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第七天 上海 / 台北 MU5005 PVGTPE 1600/1740</w:t>
            </w:r>
          </w:p>
        </w:tc>
      </w:tr>
      <w:tr w:rsidR="00417EFF">
        <w:trPr>
          <w:trHeight w:val="2232"/>
        </w:trPr>
        <w:tc>
          <w:tcPr>
            <w:tcW w:w="7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班機今日飛抵桃園國際機場，結束愉快難忘的阿拉伯灣之旅。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EC9"/>
            <w:vAlign w:val="center"/>
          </w:tcPr>
          <w:p w:rsidR="00417EFF" w:rsidRDefault="00C4309D">
            <w:pPr>
              <w:spacing w:line="120" w:lineRule="exact"/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  <w:noProof/>
              </w:rPr>
              <w:drawing>
                <wp:anchor distT="0" distB="0" distL="114300" distR="114300" simplePos="0" relativeHeight="26" behindDoc="0" locked="0" layoutInCell="1" allowOverlap="1">
                  <wp:simplePos x="0" y="0"/>
                  <wp:positionH relativeFrom="column">
                    <wp:posOffset>15874</wp:posOffset>
                  </wp:positionH>
                  <wp:positionV relativeFrom="paragraph">
                    <wp:posOffset>-1159510</wp:posOffset>
                  </wp:positionV>
                  <wp:extent cx="1657350" cy="1238250"/>
                  <wp:effectExtent l="0" t="0" r="0" b="0"/>
                  <wp:wrapSquare wrapText="bothSides"/>
                  <wp:docPr id="25" name="图片 25" descr="d:\user file\Desktop\IVEN\科威圖檔\杜拜圖檔\沙瓶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123825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7EFF">
        <w:trPr>
          <w:trHeight w:val="437"/>
        </w:trPr>
        <w:tc>
          <w:tcPr>
            <w:tcW w:w="10773" w:type="dxa"/>
            <w:gridSpan w:val="2"/>
            <w:shd w:val="clear" w:color="auto" w:fill="FBE7CB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餐食：早餐-機上套餐  中餐-自理  晚餐-X</w:t>
            </w:r>
          </w:p>
        </w:tc>
      </w:tr>
      <w:tr w:rsidR="00417EFF">
        <w:trPr>
          <w:trHeight w:val="452"/>
        </w:trPr>
        <w:tc>
          <w:tcPr>
            <w:tcW w:w="1077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096"/>
            <w:vAlign w:val="center"/>
          </w:tcPr>
          <w:p w:rsidR="00417EFF" w:rsidRDefault="00C4309D">
            <w:pPr>
              <w:jc w:val="both"/>
              <w:rPr>
                <w:rFonts w:ascii="微軟正黑體" w:eastAsia="微軟正黑體"/>
              </w:rPr>
            </w:pPr>
            <w:r>
              <w:rPr>
                <w:rFonts w:ascii="微軟正黑體" w:eastAsia="微軟正黑體" w:hint="eastAsia"/>
              </w:rPr>
              <w:t>住宿：溫暖的家</w:t>
            </w:r>
          </w:p>
        </w:tc>
      </w:tr>
    </w:tbl>
    <w:p w:rsidR="00417EFF" w:rsidRDefault="00417EFF">
      <w:pPr>
        <w:ind w:firstLineChars="100" w:firstLine="240"/>
        <w:rPr>
          <w:rFonts w:ascii="微軟正黑體" w:eastAsia="微軟正黑體"/>
        </w:rPr>
      </w:pPr>
    </w:p>
    <w:tbl>
      <w:tblPr>
        <w:tblW w:w="10712" w:type="dxa"/>
        <w:jc w:val="center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33"/>
        <w:gridCol w:w="6226"/>
        <w:gridCol w:w="1553"/>
      </w:tblGrid>
      <w:tr w:rsidR="00417EFF">
        <w:trPr>
          <w:trHeight w:val="20"/>
          <w:jc w:val="center"/>
        </w:trPr>
        <w:tc>
          <w:tcPr>
            <w:tcW w:w="10712" w:type="dxa"/>
            <w:gridSpan w:val="3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FF"/>
                <w:kern w:val="0"/>
              </w:rPr>
            </w:pPr>
            <w:r>
              <w:rPr>
                <w:rFonts w:ascii="微軟正黑體" w:eastAsia="微軟正黑體" w:hint="eastAsia"/>
                <w:color w:val="0000FF"/>
                <w:kern w:val="0"/>
              </w:rPr>
              <w:t>建議自費表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自費項目</w:t>
            </w:r>
          </w:p>
        </w:tc>
        <w:tc>
          <w:tcPr>
            <w:tcW w:w="6226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介紹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售價/人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沙漠衝沙+阿拉伯之夜</w:t>
            </w:r>
          </w:p>
        </w:tc>
        <w:tc>
          <w:tcPr>
            <w:tcW w:w="6226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專業司機駕駛四驅車於沙漠中奔馳著，於坡度落差高達一、兩層樓達的沙丘中，俯衝、甩尾、滑行。在仿遊牧民族貝多因部落營地裡，可以騎駱駝、嘗試阿拉伯水煙、穿阿拉伯傳統服飾、彩繪阿拉伯婦女喜愛的圖騰；晚餐安排道地的阿拉伯式燒烤、沙拉、甜品、飲料等，伴隨著傳統舞蹈表演、邊聆聽美妙的阿拉伯音樂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b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b/>
                <w:color w:val="FF0000"/>
                <w:kern w:val="0"/>
              </w:rPr>
              <w:t>『贈送』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b/>
                <w:strike/>
                <w:color w:val="FF0000"/>
                <w:kern w:val="0"/>
              </w:rPr>
              <w:t>(USD 75)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F1法拉利世界主題樂園</w:t>
            </w:r>
          </w:p>
        </w:tc>
        <w:tc>
          <w:tcPr>
            <w:tcW w:w="6226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阿布達比法拉利世界，為世界上第一個，同時也是最大的法拉利主題樂園，靈感與創新的世界，有著各式各樣的遊樂設施，驚險刺激，還能欣賞各式車款，大飽您的眼福。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4,100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120)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登哈里發塔</w:t>
            </w:r>
          </w:p>
        </w:tc>
        <w:tc>
          <w:tcPr>
            <w:tcW w:w="6226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世界的第一高塔；經過長長的時光隧道，看著杜拜進化發展的多媒體秀，以及哈里發塔如何從無到有的過程；登塔電梯速度非常的快，只要一分鐘，馬上到達位於第124層樓的景觀台AT THE TOP。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2,600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75)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直升機觀光(15分鐘)</w:t>
            </w:r>
          </w:p>
        </w:tc>
        <w:tc>
          <w:tcPr>
            <w:tcW w:w="6226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乘坐著直升機，從高空俯瞰著迷人的景致，欣賞世界第一高塔、人工打造而成的棕櫚島、沙漠的地型等，換個不同的角度看看杜拜，把最美好的回憶都留在腦海裡吧。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10,900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320)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七星帆船飯店自助午餐</w:t>
            </w:r>
          </w:p>
        </w:tc>
        <w:tc>
          <w:tcPr>
            <w:tcW w:w="6226" w:type="dxa"/>
            <w:vMerge w:val="restart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如同帆船飯店本身的名氣，使得來此地的旅人們，都期望能在帆船飯店內用餐，這裡擁有高品質、富含創意的料理，搭配著飯店處處充滿華麗的氛圍，讓您用餐時變得更享受了。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6,200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180)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七星帆船飯店自助晚餐</w:t>
            </w:r>
          </w:p>
        </w:tc>
        <w:tc>
          <w:tcPr>
            <w:tcW w:w="6226" w:type="dxa"/>
            <w:vMerge/>
            <w:vAlign w:val="center"/>
          </w:tcPr>
          <w:p w:rsidR="00417EFF" w:rsidRDefault="00417EFF"/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6,700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195)</w:t>
            </w:r>
          </w:p>
        </w:tc>
      </w:tr>
      <w:tr w:rsidR="00417EFF">
        <w:trPr>
          <w:trHeight w:val="671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亞特蘭提斯飯店自助午餐</w:t>
            </w:r>
          </w:p>
        </w:tc>
        <w:tc>
          <w:tcPr>
            <w:tcW w:w="6226" w:type="dxa"/>
            <w:vMerge w:val="restart"/>
            <w:vAlign w:val="center"/>
          </w:tcPr>
          <w:p w:rsidR="00417EFF" w:rsidRDefault="00C4309D">
            <w:pPr>
              <w:spacing w:line="400" w:lineRule="exact"/>
              <w:contextualSpacing/>
              <w:rPr>
                <w:rFonts w:ascii="微軟正黑體" w:eastAsia="微軟正黑體"/>
                <w:kern w:val="0"/>
              </w:rPr>
            </w:pPr>
            <w:r>
              <w:rPr>
                <w:rFonts w:ascii="微軟正黑體" w:eastAsia="微軟正黑體" w:hint="eastAsia"/>
                <w:kern w:val="0"/>
              </w:rPr>
              <w:t>亞特蘭提斯飯店本身擁有21家餐廳、酒吧、酒廊，從米其林星級美食到阿拉伯風味餐，讓你盡情周遊美食世界。來自世界各地的知名廚師，共同打造著頂級餐飲體驗，此刻正等著您的到來，享受非凡的用餐時光。</w:t>
            </w:r>
          </w:p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3,400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100)</w:t>
            </w:r>
          </w:p>
        </w:tc>
      </w:tr>
      <w:tr w:rsidR="00417EFF">
        <w:trPr>
          <w:trHeight w:val="20"/>
          <w:jc w:val="center"/>
        </w:trPr>
        <w:tc>
          <w:tcPr>
            <w:tcW w:w="293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</w:rPr>
            </w:pPr>
            <w:r>
              <w:rPr>
                <w:rFonts w:ascii="微軟正黑體" w:eastAsia="微軟正黑體" w:hint="eastAsia"/>
                <w:b/>
                <w:kern w:val="0"/>
              </w:rPr>
              <w:t>亞特蘭提斯飯店自助晚餐</w:t>
            </w:r>
          </w:p>
        </w:tc>
        <w:tc>
          <w:tcPr>
            <w:tcW w:w="6226" w:type="dxa"/>
            <w:vMerge/>
            <w:vAlign w:val="center"/>
          </w:tcPr>
          <w:p w:rsidR="00417EFF" w:rsidRDefault="00417EFF"/>
        </w:tc>
        <w:tc>
          <w:tcPr>
            <w:tcW w:w="1553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3,800</w:t>
            </w:r>
          </w:p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(USD 110)</w:t>
            </w:r>
          </w:p>
        </w:tc>
      </w:tr>
    </w:tbl>
    <w:p w:rsidR="00417EFF" w:rsidRDefault="00417EFF">
      <w:pPr>
        <w:spacing w:line="400" w:lineRule="exact"/>
        <w:contextualSpacing/>
        <w:rPr>
          <w:rFonts w:ascii="微軟正黑體" w:eastAsia="微軟正黑體"/>
        </w:rPr>
      </w:pPr>
    </w:p>
    <w:tbl>
      <w:tblPr>
        <w:tblW w:w="10723" w:type="dxa"/>
        <w:jc w:val="center"/>
        <w:tblBorders>
          <w:top w:val="threeDEmboss" w:sz="12" w:space="0" w:color="auto"/>
          <w:left w:val="threeDEmboss" w:sz="12" w:space="0" w:color="auto"/>
          <w:bottom w:val="threeDEngrave" w:sz="12" w:space="0" w:color="auto"/>
          <w:right w:val="threeDEngrav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99"/>
        <w:gridCol w:w="6124"/>
        <w:gridCol w:w="1700"/>
      </w:tblGrid>
      <w:tr w:rsidR="00417EFF">
        <w:trPr>
          <w:trHeight w:val="306"/>
          <w:jc w:val="center"/>
        </w:trPr>
        <w:tc>
          <w:tcPr>
            <w:tcW w:w="10723" w:type="dxa"/>
            <w:gridSpan w:val="3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FF"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color w:val="0000FF"/>
                <w:kern w:val="0"/>
                <w:szCs w:val="24"/>
              </w:rPr>
              <w:t>建議加購表</w:t>
            </w:r>
          </w:p>
        </w:tc>
      </w:tr>
      <w:tr w:rsidR="00417EFF">
        <w:trPr>
          <w:trHeight w:val="306"/>
          <w:jc w:val="center"/>
        </w:trPr>
        <w:tc>
          <w:tcPr>
            <w:tcW w:w="2899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kern w:val="0"/>
                <w:szCs w:val="24"/>
              </w:rPr>
              <w:t>加購項目</w:t>
            </w:r>
          </w:p>
        </w:tc>
        <w:tc>
          <w:tcPr>
            <w:tcW w:w="6124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kern w:val="0"/>
                <w:szCs w:val="24"/>
              </w:rPr>
              <w:t>內容</w:t>
            </w:r>
          </w:p>
        </w:tc>
        <w:tc>
          <w:tcPr>
            <w:tcW w:w="1700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000000"/>
                <w:kern w:val="0"/>
              </w:rPr>
            </w:pPr>
            <w:r>
              <w:rPr>
                <w:rFonts w:ascii="微軟正黑體" w:eastAsia="微軟正黑體" w:hint="eastAsia"/>
                <w:color w:val="000000"/>
                <w:kern w:val="0"/>
              </w:rPr>
              <w:t>售價/人</w:t>
            </w:r>
          </w:p>
        </w:tc>
      </w:tr>
      <w:tr w:rsidR="00417EFF">
        <w:trPr>
          <w:trHeight w:val="597"/>
          <w:jc w:val="center"/>
        </w:trPr>
        <w:tc>
          <w:tcPr>
            <w:tcW w:w="2899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b/>
                <w:kern w:val="0"/>
                <w:szCs w:val="24"/>
              </w:rPr>
              <w:t>七星帆船酒店</w:t>
            </w:r>
          </w:p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b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b/>
                <w:kern w:val="0"/>
                <w:szCs w:val="24"/>
              </w:rPr>
              <w:t>(住宿 / 每晚 / 2人一室)</w:t>
            </w:r>
          </w:p>
        </w:tc>
        <w:tc>
          <w:tcPr>
            <w:tcW w:w="6124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rPr>
                <w:rFonts w:ascii="微軟正黑體" w:eastAsia="微軟正黑體"/>
                <w:kern w:val="0"/>
                <w:szCs w:val="24"/>
              </w:rPr>
            </w:pPr>
            <w:r>
              <w:rPr>
                <w:rFonts w:ascii="微軟正黑體" w:eastAsia="微軟正黑體" w:hint="eastAsia"/>
                <w:kern w:val="0"/>
                <w:szCs w:val="24"/>
              </w:rPr>
              <w:t>極盡奢華之能的飯店，在這裡沒有低調這2個字，只有無所不用其極的富麗堂皇，但最讓人嚮往的是那頂級品質的服務，所有房間都是複合式套房，每一層樓都有專屬接待處，也提供全天候的管家，確保您在入住時可受到頂級的個人化服務。</w:t>
            </w:r>
          </w:p>
        </w:tc>
        <w:tc>
          <w:tcPr>
            <w:tcW w:w="1700" w:type="dxa"/>
            <w:vAlign w:val="center"/>
          </w:tcPr>
          <w:p w:rsidR="00417EFF" w:rsidRDefault="00C4309D">
            <w:pPr>
              <w:widowControl/>
              <w:spacing w:line="400" w:lineRule="exact"/>
              <w:contextualSpacing/>
              <w:jc w:val="center"/>
              <w:rPr>
                <w:rFonts w:ascii="微軟正黑體" w:eastAsia="微軟正黑體"/>
                <w:color w:val="FF0000"/>
                <w:kern w:val="0"/>
              </w:rPr>
            </w:pPr>
            <w:r>
              <w:rPr>
                <w:rFonts w:ascii="微軟正黑體" w:eastAsia="微軟正黑體" w:hint="eastAsia"/>
                <w:color w:val="FF0000"/>
                <w:kern w:val="0"/>
              </w:rPr>
              <w:t>NTD 38,000起</w:t>
            </w:r>
          </w:p>
        </w:tc>
      </w:tr>
    </w:tbl>
    <w:p w:rsidR="00417EFF" w:rsidRDefault="00417EFF">
      <w:pPr>
        <w:rPr>
          <w:rFonts w:ascii="微軟正黑體" w:eastAsia="微軟正黑體"/>
          <w:sz w:val="2"/>
          <w:szCs w:val="2"/>
        </w:rPr>
      </w:pPr>
    </w:p>
    <w:sectPr w:rsidR="00417EFF" w:rsidSect="00417EFF">
      <w:pgSz w:w="12240" w:h="15840"/>
      <w:pgMar w:top="567" w:right="567" w:bottom="567" w:left="567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2C6" w:rsidRDefault="007D02C6" w:rsidP="008A6010">
      <w:r>
        <w:separator/>
      </w:r>
    </w:p>
  </w:endnote>
  <w:endnote w:type="continuationSeparator" w:id="1">
    <w:p w:rsidR="007D02C6" w:rsidRDefault="007D02C6" w:rsidP="008A6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2C6" w:rsidRDefault="007D02C6" w:rsidP="008A6010">
      <w:r>
        <w:separator/>
      </w:r>
    </w:p>
  </w:footnote>
  <w:footnote w:type="continuationSeparator" w:id="1">
    <w:p w:rsidR="007D02C6" w:rsidRDefault="007D02C6" w:rsidP="008A6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</w:compat>
  <w:rsids>
    <w:rsidRoot w:val="00417EFF"/>
    <w:rsid w:val="00172B43"/>
    <w:rsid w:val="002142B2"/>
    <w:rsid w:val="002D28A0"/>
    <w:rsid w:val="002E3275"/>
    <w:rsid w:val="00417EFF"/>
    <w:rsid w:val="005F7255"/>
    <w:rsid w:val="006C6CB7"/>
    <w:rsid w:val="007D02C6"/>
    <w:rsid w:val="008A6010"/>
    <w:rsid w:val="00B768C6"/>
    <w:rsid w:val="00C32E81"/>
    <w:rsid w:val="00C4309D"/>
    <w:rsid w:val="00DA5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7EFF"/>
    <w:pPr>
      <w:widowControl w:val="0"/>
    </w:pPr>
    <w:rPr>
      <w:rFonts w:ascii="Calibri" w:eastAsia="新細明體" w:hAnsi="Calibri" w:cs="Arial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417EFF"/>
    <w:pPr>
      <w:ind w:leftChars="200" w:left="200"/>
    </w:pPr>
  </w:style>
  <w:style w:type="paragraph" w:styleId="a3">
    <w:name w:val="header"/>
    <w:basedOn w:val="a"/>
    <w:rsid w:val="00417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17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rsid w:val="00417EFF"/>
    <w:rPr>
      <w:rFonts w:ascii="Cambria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218</dc:creator>
  <cp:lastModifiedBy>newhana1</cp:lastModifiedBy>
  <cp:revision>12</cp:revision>
  <dcterms:created xsi:type="dcterms:W3CDTF">2016-02-16T06:22:00Z</dcterms:created>
  <dcterms:modified xsi:type="dcterms:W3CDTF">2016-05-18T11:33:00Z</dcterms:modified>
</cp:coreProperties>
</file>